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1578" w:rsidRDefault="008C3363" w:rsidP="00B35CF5">
      <w:pPr>
        <w:spacing w:after="0" w:line="240" w:lineRule="auto"/>
        <w:jc w:val="center"/>
        <w:rPr>
          <w:b/>
          <w:color w:val="auto"/>
          <w:sz w:val="23"/>
          <w:szCs w:val="23"/>
        </w:rPr>
      </w:pPr>
      <w:r w:rsidRPr="008C3363">
        <w:rPr>
          <w:b/>
          <w:color w:val="auto"/>
          <w:sz w:val="23"/>
          <w:szCs w:val="23"/>
        </w:rPr>
        <w:t>EXECUTIVE SUMMARY</w:t>
      </w:r>
    </w:p>
    <w:p w:rsidR="00B35CF5" w:rsidRDefault="00B35CF5" w:rsidP="00B35CF5">
      <w:pPr>
        <w:spacing w:after="0" w:line="240" w:lineRule="auto"/>
        <w:jc w:val="both"/>
        <w:rPr>
          <w:b/>
          <w:color w:val="auto"/>
        </w:rPr>
      </w:pPr>
    </w:p>
    <w:p w:rsidR="00B35CF5" w:rsidRDefault="00B35CF5" w:rsidP="00B35CF5">
      <w:pPr>
        <w:spacing w:after="0" w:line="240" w:lineRule="auto"/>
        <w:jc w:val="both"/>
        <w:rPr>
          <w:b/>
          <w:color w:val="auto"/>
        </w:rPr>
      </w:pPr>
    </w:p>
    <w:p w:rsidR="008C3363" w:rsidRDefault="008C3363" w:rsidP="00B35CF5">
      <w:pPr>
        <w:spacing w:after="0" w:line="240" w:lineRule="auto"/>
        <w:jc w:val="both"/>
        <w:rPr>
          <w:b/>
          <w:color w:val="auto"/>
        </w:rPr>
      </w:pPr>
      <w:r w:rsidRPr="00427E2B">
        <w:rPr>
          <w:b/>
          <w:color w:val="auto"/>
        </w:rPr>
        <w:t>INTRODUCTION</w:t>
      </w:r>
    </w:p>
    <w:p w:rsidR="00FB6225" w:rsidRPr="00427E2B" w:rsidRDefault="00FB6225" w:rsidP="00B35CF5">
      <w:pPr>
        <w:spacing w:after="0" w:line="240" w:lineRule="auto"/>
        <w:jc w:val="both"/>
        <w:rPr>
          <w:b/>
          <w:color w:val="auto"/>
        </w:rPr>
      </w:pPr>
    </w:p>
    <w:p w:rsidR="00BB198D" w:rsidRDefault="008C3363" w:rsidP="00B35CF5">
      <w:pPr>
        <w:spacing w:after="0" w:line="240" w:lineRule="auto"/>
        <w:jc w:val="both"/>
        <w:rPr>
          <w:rFonts w:eastAsia="Calibri"/>
          <w:color w:val="auto"/>
        </w:rPr>
      </w:pPr>
      <w:r w:rsidRPr="008C3363">
        <w:rPr>
          <w:rFonts w:eastAsia="Calibri"/>
          <w:color w:val="auto"/>
        </w:rPr>
        <w:t xml:space="preserve">The National Tobacco Administration (NTA) </w:t>
      </w:r>
      <w:r>
        <w:rPr>
          <w:color w:val="auto"/>
        </w:rPr>
        <w:t>with business address at Scout Reyes</w:t>
      </w:r>
      <w:r w:rsidR="00357976">
        <w:rPr>
          <w:color w:val="auto"/>
        </w:rPr>
        <w:t>,</w:t>
      </w:r>
      <w:r>
        <w:rPr>
          <w:color w:val="auto"/>
        </w:rPr>
        <w:t xml:space="preserve"> corner Panay Avenue, Quezon City </w:t>
      </w:r>
      <w:r w:rsidRPr="008C3363">
        <w:rPr>
          <w:rFonts w:eastAsia="Calibri"/>
          <w:color w:val="auto"/>
        </w:rPr>
        <w:t>is a</w:t>
      </w:r>
      <w:r>
        <w:rPr>
          <w:color w:val="auto"/>
        </w:rPr>
        <w:t>n attached agency of the Department of Agriculture (DA)</w:t>
      </w:r>
      <w:r w:rsidR="003C119A">
        <w:rPr>
          <w:color w:val="auto"/>
        </w:rPr>
        <w:t xml:space="preserve"> operating under the administration of Mr. Robert L. </w:t>
      </w:r>
      <w:proofErr w:type="spellStart"/>
      <w:r w:rsidR="003C119A">
        <w:rPr>
          <w:color w:val="auto"/>
        </w:rPr>
        <w:t>Seares</w:t>
      </w:r>
      <w:proofErr w:type="spellEnd"/>
      <w:r w:rsidR="003C119A">
        <w:rPr>
          <w:color w:val="auto"/>
        </w:rPr>
        <w:t>, M.D., the Head of the Agency</w:t>
      </w:r>
      <w:r>
        <w:rPr>
          <w:color w:val="auto"/>
        </w:rPr>
        <w:t xml:space="preserve">. It is </w:t>
      </w:r>
      <w:r w:rsidRPr="008C3363">
        <w:rPr>
          <w:rFonts w:eastAsia="Calibri"/>
          <w:color w:val="auto"/>
        </w:rPr>
        <w:t>created under Executive Order (EO) No. 116 dated January 30, 1987, which was implemented by EO No. 245 dated July 24, 1987.  Under EO No. 245, seven tobacco agencies were merged to the NTA</w:t>
      </w:r>
      <w:r w:rsidR="00357976">
        <w:rPr>
          <w:rFonts w:eastAsia="Calibri"/>
          <w:color w:val="auto"/>
        </w:rPr>
        <w:t xml:space="preserve">, namely, Philippine </w:t>
      </w:r>
      <w:r w:rsidR="0067728A">
        <w:rPr>
          <w:rFonts w:eastAsia="Calibri"/>
          <w:color w:val="auto"/>
        </w:rPr>
        <w:t xml:space="preserve">Tobacco Administration (PTA); </w:t>
      </w:r>
      <w:r w:rsidR="00357976">
        <w:rPr>
          <w:rFonts w:eastAsia="Calibri"/>
          <w:color w:val="auto"/>
        </w:rPr>
        <w:t xml:space="preserve">Philippine Virginia Tobacco Administration (PVTA); Philippine Virginia Tobacco Board (PVTB); </w:t>
      </w:r>
      <w:r w:rsidR="0067728A">
        <w:rPr>
          <w:rFonts w:eastAsia="Calibri"/>
          <w:color w:val="auto"/>
        </w:rPr>
        <w:t xml:space="preserve">Philippine Tobacco Research and Training Center (PTRTC); Virginia Tobacco Fuel Wood Corporation (VITOFCO); Virginia Flue-Curing Board (VFCB); and National Tobacco Classification Council (NTCC). </w:t>
      </w:r>
    </w:p>
    <w:p w:rsidR="00357976" w:rsidRDefault="00357976" w:rsidP="008C3363">
      <w:pPr>
        <w:spacing w:after="0" w:line="240" w:lineRule="auto"/>
        <w:jc w:val="both"/>
        <w:rPr>
          <w:rFonts w:eastAsia="Calibri"/>
          <w:color w:val="auto"/>
        </w:rPr>
      </w:pPr>
    </w:p>
    <w:p w:rsidR="008C3363" w:rsidRDefault="008C3363" w:rsidP="008C3363">
      <w:pPr>
        <w:spacing w:after="0" w:line="240" w:lineRule="auto"/>
        <w:jc w:val="both"/>
        <w:rPr>
          <w:color w:val="auto"/>
        </w:rPr>
      </w:pPr>
      <w:r w:rsidRPr="008C3363">
        <w:rPr>
          <w:rFonts w:eastAsia="Calibri"/>
          <w:color w:val="auto"/>
        </w:rPr>
        <w:t xml:space="preserve">The </w:t>
      </w:r>
      <w:r w:rsidR="00084E85">
        <w:rPr>
          <w:rFonts w:eastAsia="Calibri"/>
          <w:color w:val="auto"/>
        </w:rPr>
        <w:t>NTA</w:t>
      </w:r>
      <w:r w:rsidRPr="008C3363">
        <w:rPr>
          <w:rFonts w:eastAsia="Calibri"/>
          <w:color w:val="auto"/>
        </w:rPr>
        <w:t xml:space="preserve"> is mandated to: (a) improve the economic and living conditions and raise the quality of life of the tobacco farmers including those who depend upon the industry for their livelihood; and (b) promote the balanced and integrated growth and development of the industry and help make agriculture a solid base for massive industrialization. </w:t>
      </w:r>
      <w:r w:rsidR="00084E85">
        <w:rPr>
          <w:rFonts w:eastAsia="Calibri"/>
          <w:color w:val="auto"/>
        </w:rPr>
        <w:t>The Agency</w:t>
      </w:r>
      <w:r w:rsidRPr="008C3363">
        <w:rPr>
          <w:rFonts w:eastAsia="Calibri"/>
          <w:color w:val="auto"/>
        </w:rPr>
        <w:t xml:space="preserve"> also administers and regulates the tobacco industry of the Philippines.</w:t>
      </w:r>
    </w:p>
    <w:p w:rsidR="008C3363" w:rsidRDefault="008C3363" w:rsidP="008C3363">
      <w:pPr>
        <w:spacing w:after="0" w:line="240" w:lineRule="auto"/>
        <w:jc w:val="both"/>
        <w:rPr>
          <w:color w:val="auto"/>
        </w:rPr>
      </w:pPr>
    </w:p>
    <w:p w:rsidR="008E588A" w:rsidRDefault="009245AB" w:rsidP="008C3363">
      <w:pPr>
        <w:spacing w:after="0" w:line="240" w:lineRule="auto"/>
        <w:jc w:val="both"/>
        <w:rPr>
          <w:color w:val="auto"/>
        </w:rPr>
      </w:pPr>
      <w:r w:rsidRPr="009245AB">
        <w:rPr>
          <w:color w:val="auto"/>
        </w:rPr>
        <w:t>As at December 31, 2017, NTA’s manpower complement consisted of 297 regular personnel and 137 job order employees, of wh</w:t>
      </w:r>
      <w:r w:rsidR="00D90816">
        <w:rPr>
          <w:color w:val="auto"/>
        </w:rPr>
        <w:t>om</w:t>
      </w:r>
      <w:r w:rsidRPr="009245AB">
        <w:rPr>
          <w:color w:val="auto"/>
        </w:rPr>
        <w:t xml:space="preserve"> 31 were assigned in the Central Office, 55 in the Branch Offices, 45 at the </w:t>
      </w:r>
      <w:proofErr w:type="spellStart"/>
      <w:r w:rsidRPr="009245AB">
        <w:rPr>
          <w:color w:val="auto"/>
        </w:rPr>
        <w:t>AgriPinoy</w:t>
      </w:r>
      <w:proofErr w:type="spellEnd"/>
      <w:r w:rsidRPr="009245AB">
        <w:rPr>
          <w:color w:val="auto"/>
        </w:rPr>
        <w:t xml:space="preserve"> Tobacco Food Processing and Trading Center, 1 at FeedMill both in Narvacan, Ilocos Sur, and 5 at Tobacco Dust Processing Plant in Sto. Tomas, La Union.</w:t>
      </w:r>
    </w:p>
    <w:p w:rsidR="007D6526" w:rsidRDefault="007D6526" w:rsidP="008C3363">
      <w:pPr>
        <w:spacing w:after="0" w:line="240" w:lineRule="auto"/>
        <w:jc w:val="both"/>
        <w:rPr>
          <w:color w:val="auto"/>
        </w:rPr>
      </w:pPr>
      <w:bookmarkStart w:id="0" w:name="_GoBack"/>
      <w:bookmarkEnd w:id="0"/>
    </w:p>
    <w:p w:rsidR="00D90816" w:rsidRDefault="00D90816" w:rsidP="008C3363">
      <w:pPr>
        <w:spacing w:after="0" w:line="240" w:lineRule="auto"/>
        <w:jc w:val="both"/>
        <w:rPr>
          <w:color w:val="auto"/>
        </w:rPr>
      </w:pPr>
    </w:p>
    <w:p w:rsidR="008C3363" w:rsidRPr="00D90816" w:rsidRDefault="008C3363" w:rsidP="008C3363">
      <w:pPr>
        <w:spacing w:after="0" w:line="240" w:lineRule="auto"/>
        <w:jc w:val="both"/>
        <w:rPr>
          <w:b/>
          <w:color w:val="auto"/>
        </w:rPr>
      </w:pPr>
      <w:r w:rsidRPr="00D90816">
        <w:rPr>
          <w:b/>
          <w:color w:val="auto"/>
        </w:rPr>
        <w:t xml:space="preserve">FINANCIAL HIGHLIGHTS (In </w:t>
      </w:r>
      <w:r w:rsidR="008E588A" w:rsidRPr="00D90816">
        <w:rPr>
          <w:b/>
          <w:color w:val="auto"/>
        </w:rPr>
        <w:t>Million P</w:t>
      </w:r>
      <w:r w:rsidRPr="00D90816">
        <w:rPr>
          <w:b/>
          <w:color w:val="auto"/>
        </w:rPr>
        <w:t>esos)</w:t>
      </w:r>
    </w:p>
    <w:p w:rsidR="00BA5AF0" w:rsidRPr="00D90816" w:rsidRDefault="00BA5AF0" w:rsidP="008C3363">
      <w:pPr>
        <w:spacing w:after="0" w:line="240" w:lineRule="auto"/>
        <w:jc w:val="both"/>
        <w:rPr>
          <w:b/>
          <w:color w:val="auto"/>
        </w:rPr>
      </w:pPr>
    </w:p>
    <w:p w:rsidR="00BA5AF0" w:rsidRPr="00D90816" w:rsidRDefault="00BA5AF0" w:rsidP="008E588A">
      <w:pPr>
        <w:tabs>
          <w:tab w:val="left" w:pos="540"/>
        </w:tabs>
        <w:spacing w:after="0" w:line="240" w:lineRule="auto"/>
        <w:jc w:val="both"/>
        <w:rPr>
          <w:b/>
          <w:color w:val="auto"/>
        </w:rPr>
      </w:pPr>
      <w:r w:rsidRPr="00D90816">
        <w:rPr>
          <w:b/>
          <w:color w:val="auto"/>
        </w:rPr>
        <w:t xml:space="preserve">I. </w:t>
      </w:r>
      <w:r w:rsidR="002D1FE5" w:rsidRPr="00D90816">
        <w:rPr>
          <w:b/>
          <w:color w:val="auto"/>
        </w:rPr>
        <w:tab/>
      </w:r>
      <w:r w:rsidRPr="00D90816">
        <w:rPr>
          <w:b/>
          <w:color w:val="auto"/>
        </w:rPr>
        <w:t>Comparative Financial Position</w:t>
      </w:r>
    </w:p>
    <w:p w:rsidR="00B35CF5" w:rsidRDefault="00B35CF5" w:rsidP="00B35CF5">
      <w:pPr>
        <w:tabs>
          <w:tab w:val="left" w:pos="540"/>
        </w:tabs>
        <w:spacing w:after="0" w:line="240" w:lineRule="auto"/>
        <w:jc w:val="both"/>
        <w:rPr>
          <w:b/>
          <w:color w:val="auto"/>
        </w:rPr>
      </w:pPr>
    </w:p>
    <w:tbl>
      <w:tblPr>
        <w:tblStyle w:val="TableGrid"/>
        <w:tblW w:w="869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80"/>
        <w:gridCol w:w="1440"/>
        <w:gridCol w:w="1251"/>
        <w:gridCol w:w="1320"/>
      </w:tblGrid>
      <w:tr w:rsidR="00CD4E6D" w:rsidRPr="00BA5AF0" w:rsidTr="00DF522E">
        <w:tc>
          <w:tcPr>
            <w:tcW w:w="4680" w:type="dxa"/>
            <w:tcBorders>
              <w:top w:val="single" w:sz="4" w:space="0" w:color="auto"/>
              <w:bottom w:val="single" w:sz="4" w:space="0" w:color="auto"/>
            </w:tcBorders>
          </w:tcPr>
          <w:p w:rsidR="00CD4E6D" w:rsidRPr="00F236AF" w:rsidRDefault="00CD4E6D" w:rsidP="00DF522E">
            <w:pPr>
              <w:jc w:val="both"/>
              <w:rPr>
                <w:b/>
                <w:color w:val="auto"/>
                <w:sz w:val="19"/>
                <w:szCs w:val="19"/>
              </w:rPr>
            </w:pPr>
          </w:p>
        </w:tc>
        <w:tc>
          <w:tcPr>
            <w:tcW w:w="1440" w:type="dxa"/>
            <w:tcBorders>
              <w:top w:val="single" w:sz="4" w:space="0" w:color="auto"/>
              <w:bottom w:val="single" w:sz="4" w:space="0" w:color="auto"/>
            </w:tcBorders>
            <w:vAlign w:val="bottom"/>
          </w:tcPr>
          <w:p w:rsidR="00CD4E6D" w:rsidRPr="00F236AF" w:rsidRDefault="00CD4E6D" w:rsidP="00DF522E">
            <w:pPr>
              <w:jc w:val="right"/>
              <w:rPr>
                <w:b/>
                <w:color w:val="auto"/>
                <w:sz w:val="19"/>
                <w:szCs w:val="19"/>
              </w:rPr>
            </w:pPr>
            <w:r w:rsidRPr="00F236AF">
              <w:rPr>
                <w:b/>
                <w:color w:val="auto"/>
                <w:sz w:val="19"/>
                <w:szCs w:val="19"/>
              </w:rPr>
              <w:t>201</w:t>
            </w:r>
            <w:r>
              <w:rPr>
                <w:b/>
                <w:color w:val="auto"/>
                <w:sz w:val="19"/>
                <w:szCs w:val="19"/>
              </w:rPr>
              <w:t>7</w:t>
            </w:r>
          </w:p>
        </w:tc>
        <w:tc>
          <w:tcPr>
            <w:tcW w:w="1251" w:type="dxa"/>
            <w:tcBorders>
              <w:top w:val="single" w:sz="4" w:space="0" w:color="auto"/>
              <w:bottom w:val="single" w:sz="4" w:space="0" w:color="auto"/>
            </w:tcBorders>
            <w:vAlign w:val="bottom"/>
          </w:tcPr>
          <w:p w:rsidR="00CD4E6D" w:rsidRPr="00F236AF" w:rsidRDefault="00CD4E6D" w:rsidP="00DF522E">
            <w:pPr>
              <w:ind w:right="-50"/>
              <w:jc w:val="right"/>
              <w:rPr>
                <w:b/>
                <w:color w:val="auto"/>
                <w:sz w:val="19"/>
                <w:szCs w:val="19"/>
              </w:rPr>
            </w:pPr>
            <w:r w:rsidRPr="00F236AF">
              <w:rPr>
                <w:b/>
                <w:color w:val="auto"/>
                <w:sz w:val="19"/>
                <w:szCs w:val="19"/>
              </w:rPr>
              <w:t>201</w:t>
            </w:r>
            <w:r>
              <w:rPr>
                <w:b/>
                <w:color w:val="auto"/>
                <w:sz w:val="19"/>
                <w:szCs w:val="19"/>
              </w:rPr>
              <w:t>6</w:t>
            </w:r>
          </w:p>
        </w:tc>
        <w:tc>
          <w:tcPr>
            <w:tcW w:w="1320" w:type="dxa"/>
            <w:tcBorders>
              <w:top w:val="single" w:sz="4" w:space="0" w:color="auto"/>
              <w:bottom w:val="single" w:sz="4" w:space="0" w:color="auto"/>
            </w:tcBorders>
            <w:vAlign w:val="bottom"/>
          </w:tcPr>
          <w:p w:rsidR="00CD4E6D" w:rsidRPr="00F236AF" w:rsidRDefault="00CD4E6D" w:rsidP="00DF522E">
            <w:pPr>
              <w:ind w:right="-108"/>
              <w:jc w:val="right"/>
              <w:rPr>
                <w:b/>
                <w:color w:val="auto"/>
                <w:sz w:val="19"/>
                <w:szCs w:val="19"/>
              </w:rPr>
            </w:pPr>
            <w:r w:rsidRPr="00F236AF">
              <w:rPr>
                <w:b/>
                <w:color w:val="auto"/>
                <w:sz w:val="19"/>
                <w:szCs w:val="19"/>
              </w:rPr>
              <w:t>Increase</w:t>
            </w:r>
          </w:p>
          <w:p w:rsidR="00CD4E6D" w:rsidRPr="00F236AF" w:rsidRDefault="00CD4E6D" w:rsidP="00DF522E">
            <w:pPr>
              <w:ind w:right="-108"/>
              <w:jc w:val="right"/>
              <w:rPr>
                <w:b/>
                <w:color w:val="auto"/>
                <w:sz w:val="19"/>
                <w:szCs w:val="19"/>
              </w:rPr>
            </w:pPr>
            <w:r w:rsidRPr="00F236AF">
              <w:rPr>
                <w:b/>
                <w:color w:val="auto"/>
                <w:sz w:val="19"/>
                <w:szCs w:val="19"/>
              </w:rPr>
              <w:t>(Decrease)</w:t>
            </w:r>
          </w:p>
        </w:tc>
      </w:tr>
      <w:tr w:rsidR="00CD4E6D" w:rsidRPr="008C3363" w:rsidTr="00DF522E">
        <w:tc>
          <w:tcPr>
            <w:tcW w:w="4680" w:type="dxa"/>
            <w:tcBorders>
              <w:top w:val="single" w:sz="4" w:space="0" w:color="auto"/>
            </w:tcBorders>
            <w:vAlign w:val="bottom"/>
          </w:tcPr>
          <w:p w:rsidR="00CD4E6D" w:rsidRPr="00F236AF" w:rsidRDefault="00CD4E6D" w:rsidP="00DF522E">
            <w:pPr>
              <w:ind w:left="-108"/>
              <w:rPr>
                <w:color w:val="auto"/>
                <w:sz w:val="19"/>
                <w:szCs w:val="19"/>
              </w:rPr>
            </w:pPr>
            <w:r w:rsidRPr="00F236AF">
              <w:rPr>
                <w:color w:val="auto"/>
                <w:sz w:val="19"/>
                <w:szCs w:val="19"/>
              </w:rPr>
              <w:t xml:space="preserve">Total </w:t>
            </w:r>
            <w:r>
              <w:rPr>
                <w:color w:val="auto"/>
                <w:sz w:val="19"/>
                <w:szCs w:val="19"/>
              </w:rPr>
              <w:t>assets</w:t>
            </w:r>
          </w:p>
        </w:tc>
        <w:tc>
          <w:tcPr>
            <w:tcW w:w="1440" w:type="dxa"/>
            <w:tcBorders>
              <w:top w:val="single" w:sz="4" w:space="0" w:color="auto"/>
            </w:tcBorders>
            <w:vAlign w:val="bottom"/>
          </w:tcPr>
          <w:p w:rsidR="00CD4E6D" w:rsidRPr="00F236AF" w:rsidRDefault="007753D8" w:rsidP="00DF522E">
            <w:pPr>
              <w:tabs>
                <w:tab w:val="left" w:pos="1242"/>
              </w:tabs>
              <w:ind w:right="-18"/>
              <w:jc w:val="right"/>
              <w:rPr>
                <w:color w:val="auto"/>
                <w:sz w:val="19"/>
                <w:szCs w:val="19"/>
              </w:rPr>
            </w:pPr>
            <w:r>
              <w:rPr>
                <w:color w:val="auto"/>
                <w:sz w:val="19"/>
                <w:szCs w:val="19"/>
              </w:rPr>
              <w:t>1,729.966</w:t>
            </w:r>
          </w:p>
        </w:tc>
        <w:tc>
          <w:tcPr>
            <w:tcW w:w="1251" w:type="dxa"/>
            <w:tcBorders>
              <w:top w:val="single" w:sz="4" w:space="0" w:color="auto"/>
            </w:tcBorders>
            <w:vAlign w:val="bottom"/>
          </w:tcPr>
          <w:p w:rsidR="00CD4E6D" w:rsidRPr="00F236AF" w:rsidRDefault="007753D8" w:rsidP="00DF522E">
            <w:pPr>
              <w:tabs>
                <w:tab w:val="left" w:pos="1242"/>
              </w:tabs>
              <w:ind w:right="-50"/>
              <w:jc w:val="right"/>
              <w:rPr>
                <w:color w:val="auto"/>
                <w:sz w:val="19"/>
                <w:szCs w:val="19"/>
              </w:rPr>
            </w:pPr>
            <w:r>
              <w:rPr>
                <w:color w:val="auto"/>
                <w:sz w:val="19"/>
                <w:szCs w:val="19"/>
              </w:rPr>
              <w:t>1,489.994</w:t>
            </w:r>
          </w:p>
        </w:tc>
        <w:tc>
          <w:tcPr>
            <w:tcW w:w="1320" w:type="dxa"/>
            <w:tcBorders>
              <w:top w:val="single" w:sz="4" w:space="0" w:color="auto"/>
            </w:tcBorders>
            <w:vAlign w:val="bottom"/>
          </w:tcPr>
          <w:p w:rsidR="00CD4E6D" w:rsidRPr="00F236AF" w:rsidRDefault="00430A2E" w:rsidP="00DF522E">
            <w:pPr>
              <w:ind w:right="-67"/>
              <w:jc w:val="right"/>
              <w:rPr>
                <w:color w:val="auto"/>
                <w:sz w:val="19"/>
                <w:szCs w:val="19"/>
              </w:rPr>
            </w:pPr>
            <w:r>
              <w:rPr>
                <w:color w:val="auto"/>
                <w:sz w:val="19"/>
                <w:szCs w:val="19"/>
              </w:rPr>
              <w:fldChar w:fldCharType="begin"/>
            </w:r>
            <w:r w:rsidR="009245AB">
              <w:rPr>
                <w:color w:val="auto"/>
                <w:sz w:val="19"/>
                <w:szCs w:val="19"/>
              </w:rPr>
              <w:instrText xml:space="preserve"> =b2-c2 </w:instrText>
            </w:r>
            <w:r>
              <w:rPr>
                <w:color w:val="auto"/>
                <w:sz w:val="19"/>
                <w:szCs w:val="19"/>
              </w:rPr>
              <w:fldChar w:fldCharType="separate"/>
            </w:r>
            <w:r w:rsidR="009245AB">
              <w:rPr>
                <w:noProof/>
                <w:color w:val="auto"/>
                <w:sz w:val="19"/>
                <w:szCs w:val="19"/>
              </w:rPr>
              <w:t>239.972</w:t>
            </w:r>
            <w:r>
              <w:rPr>
                <w:color w:val="auto"/>
                <w:sz w:val="19"/>
                <w:szCs w:val="19"/>
              </w:rPr>
              <w:fldChar w:fldCharType="end"/>
            </w:r>
          </w:p>
        </w:tc>
      </w:tr>
      <w:tr w:rsidR="007753D8" w:rsidRPr="008C3363" w:rsidTr="00DF522E">
        <w:tc>
          <w:tcPr>
            <w:tcW w:w="4680" w:type="dxa"/>
            <w:vAlign w:val="bottom"/>
          </w:tcPr>
          <w:p w:rsidR="007753D8" w:rsidRPr="00F236AF" w:rsidRDefault="007753D8" w:rsidP="007753D8">
            <w:pPr>
              <w:ind w:left="-108"/>
              <w:rPr>
                <w:color w:val="auto"/>
                <w:sz w:val="19"/>
                <w:szCs w:val="19"/>
              </w:rPr>
            </w:pPr>
            <w:r>
              <w:rPr>
                <w:color w:val="auto"/>
                <w:sz w:val="19"/>
                <w:szCs w:val="19"/>
              </w:rPr>
              <w:t>Total liabilities</w:t>
            </w:r>
          </w:p>
        </w:tc>
        <w:tc>
          <w:tcPr>
            <w:tcW w:w="1440" w:type="dxa"/>
            <w:vAlign w:val="bottom"/>
          </w:tcPr>
          <w:p w:rsidR="007753D8" w:rsidRPr="00F236AF" w:rsidRDefault="007753D8" w:rsidP="007753D8">
            <w:pPr>
              <w:tabs>
                <w:tab w:val="left" w:pos="1242"/>
              </w:tabs>
              <w:ind w:right="-18"/>
              <w:jc w:val="right"/>
              <w:rPr>
                <w:color w:val="auto"/>
                <w:sz w:val="19"/>
                <w:szCs w:val="19"/>
              </w:rPr>
            </w:pPr>
            <w:r>
              <w:rPr>
                <w:color w:val="auto"/>
                <w:sz w:val="19"/>
                <w:szCs w:val="19"/>
              </w:rPr>
              <w:t>176.049</w:t>
            </w:r>
          </w:p>
        </w:tc>
        <w:tc>
          <w:tcPr>
            <w:tcW w:w="1251" w:type="dxa"/>
            <w:vAlign w:val="bottom"/>
          </w:tcPr>
          <w:p w:rsidR="007753D8" w:rsidRPr="00F236AF" w:rsidRDefault="007753D8" w:rsidP="007753D8">
            <w:pPr>
              <w:tabs>
                <w:tab w:val="left" w:pos="1242"/>
              </w:tabs>
              <w:ind w:right="-50"/>
              <w:jc w:val="right"/>
              <w:rPr>
                <w:color w:val="auto"/>
                <w:sz w:val="19"/>
                <w:szCs w:val="19"/>
              </w:rPr>
            </w:pPr>
            <w:r>
              <w:rPr>
                <w:color w:val="auto"/>
                <w:sz w:val="19"/>
                <w:szCs w:val="19"/>
              </w:rPr>
              <w:t>198.719</w:t>
            </w:r>
          </w:p>
        </w:tc>
        <w:tc>
          <w:tcPr>
            <w:tcW w:w="1320" w:type="dxa"/>
            <w:vAlign w:val="bottom"/>
          </w:tcPr>
          <w:p w:rsidR="007753D8" w:rsidRPr="00F236AF" w:rsidRDefault="00430A2E" w:rsidP="007753D8">
            <w:pPr>
              <w:ind w:right="-108"/>
              <w:jc w:val="right"/>
              <w:rPr>
                <w:color w:val="auto"/>
                <w:sz w:val="19"/>
                <w:szCs w:val="19"/>
              </w:rPr>
            </w:pPr>
            <w:r>
              <w:rPr>
                <w:color w:val="auto"/>
                <w:sz w:val="19"/>
                <w:szCs w:val="19"/>
              </w:rPr>
              <w:fldChar w:fldCharType="begin"/>
            </w:r>
            <w:r w:rsidR="009245AB">
              <w:rPr>
                <w:color w:val="auto"/>
                <w:sz w:val="19"/>
                <w:szCs w:val="19"/>
              </w:rPr>
              <w:instrText xml:space="preserve"> =b3-c3 \# "#,###.###;(#,###.###)" </w:instrText>
            </w:r>
            <w:r>
              <w:rPr>
                <w:color w:val="auto"/>
                <w:sz w:val="19"/>
                <w:szCs w:val="19"/>
              </w:rPr>
              <w:fldChar w:fldCharType="separate"/>
            </w:r>
            <w:r w:rsidR="009245AB">
              <w:rPr>
                <w:noProof/>
                <w:color w:val="auto"/>
                <w:sz w:val="19"/>
                <w:szCs w:val="19"/>
              </w:rPr>
              <w:t>(22.670)</w:t>
            </w:r>
            <w:r>
              <w:rPr>
                <w:color w:val="auto"/>
                <w:sz w:val="19"/>
                <w:szCs w:val="19"/>
              </w:rPr>
              <w:fldChar w:fldCharType="end"/>
            </w:r>
          </w:p>
        </w:tc>
      </w:tr>
      <w:tr w:rsidR="007753D8" w:rsidRPr="008C3363" w:rsidTr="007753D8">
        <w:trPr>
          <w:trHeight w:val="189"/>
        </w:trPr>
        <w:tc>
          <w:tcPr>
            <w:tcW w:w="4680" w:type="dxa"/>
            <w:tcBorders>
              <w:bottom w:val="double" w:sz="4" w:space="0" w:color="auto"/>
            </w:tcBorders>
            <w:vAlign w:val="bottom"/>
          </w:tcPr>
          <w:p w:rsidR="007753D8" w:rsidRPr="00F236AF" w:rsidRDefault="00D90816" w:rsidP="007753D8">
            <w:pPr>
              <w:ind w:left="-108"/>
              <w:rPr>
                <w:color w:val="auto"/>
                <w:sz w:val="19"/>
                <w:szCs w:val="19"/>
              </w:rPr>
            </w:pPr>
            <w:r>
              <w:rPr>
                <w:color w:val="auto"/>
                <w:sz w:val="19"/>
                <w:szCs w:val="19"/>
              </w:rPr>
              <w:t>Net assets/equity</w:t>
            </w:r>
          </w:p>
        </w:tc>
        <w:tc>
          <w:tcPr>
            <w:tcW w:w="1440" w:type="dxa"/>
            <w:tcBorders>
              <w:bottom w:val="double" w:sz="4" w:space="0" w:color="auto"/>
            </w:tcBorders>
            <w:vAlign w:val="bottom"/>
          </w:tcPr>
          <w:p w:rsidR="007753D8" w:rsidRPr="00F236AF" w:rsidRDefault="00430A2E" w:rsidP="007753D8">
            <w:pPr>
              <w:tabs>
                <w:tab w:val="left" w:pos="1242"/>
              </w:tabs>
              <w:ind w:right="-18"/>
              <w:jc w:val="right"/>
              <w:rPr>
                <w:color w:val="auto"/>
                <w:sz w:val="19"/>
                <w:szCs w:val="19"/>
              </w:rPr>
            </w:pPr>
            <w:r>
              <w:rPr>
                <w:color w:val="auto"/>
                <w:sz w:val="19"/>
                <w:szCs w:val="19"/>
              </w:rPr>
              <w:fldChar w:fldCharType="begin"/>
            </w:r>
            <w:r w:rsidR="007753D8">
              <w:rPr>
                <w:color w:val="auto"/>
                <w:sz w:val="19"/>
                <w:szCs w:val="19"/>
              </w:rPr>
              <w:instrText xml:space="preserve"> =b2-b3 </w:instrText>
            </w:r>
            <w:r>
              <w:rPr>
                <w:color w:val="auto"/>
                <w:sz w:val="19"/>
                <w:szCs w:val="19"/>
              </w:rPr>
              <w:fldChar w:fldCharType="separate"/>
            </w:r>
            <w:r w:rsidR="007753D8">
              <w:rPr>
                <w:noProof/>
                <w:color w:val="auto"/>
                <w:sz w:val="19"/>
                <w:szCs w:val="19"/>
              </w:rPr>
              <w:t>1,553.917</w:t>
            </w:r>
            <w:r>
              <w:rPr>
                <w:color w:val="auto"/>
                <w:sz w:val="19"/>
                <w:szCs w:val="19"/>
              </w:rPr>
              <w:fldChar w:fldCharType="end"/>
            </w:r>
          </w:p>
        </w:tc>
        <w:tc>
          <w:tcPr>
            <w:tcW w:w="1251" w:type="dxa"/>
            <w:tcBorders>
              <w:bottom w:val="double" w:sz="4" w:space="0" w:color="auto"/>
            </w:tcBorders>
            <w:vAlign w:val="bottom"/>
          </w:tcPr>
          <w:p w:rsidR="007753D8" w:rsidRPr="00F236AF" w:rsidRDefault="00430A2E" w:rsidP="007753D8">
            <w:pPr>
              <w:tabs>
                <w:tab w:val="left" w:pos="1242"/>
              </w:tabs>
              <w:ind w:right="-50"/>
              <w:jc w:val="right"/>
              <w:rPr>
                <w:color w:val="auto"/>
                <w:sz w:val="19"/>
                <w:szCs w:val="19"/>
              </w:rPr>
            </w:pPr>
            <w:r>
              <w:rPr>
                <w:color w:val="auto"/>
                <w:sz w:val="19"/>
                <w:szCs w:val="19"/>
              </w:rPr>
              <w:fldChar w:fldCharType="begin"/>
            </w:r>
            <w:r w:rsidR="009245AB">
              <w:rPr>
                <w:color w:val="auto"/>
                <w:sz w:val="19"/>
                <w:szCs w:val="19"/>
              </w:rPr>
              <w:instrText xml:space="preserve"> =c2-c3 </w:instrText>
            </w:r>
            <w:r>
              <w:rPr>
                <w:color w:val="auto"/>
                <w:sz w:val="19"/>
                <w:szCs w:val="19"/>
              </w:rPr>
              <w:fldChar w:fldCharType="separate"/>
            </w:r>
            <w:r w:rsidR="009245AB">
              <w:rPr>
                <w:noProof/>
                <w:color w:val="auto"/>
                <w:sz w:val="19"/>
                <w:szCs w:val="19"/>
              </w:rPr>
              <w:t>1,291.275</w:t>
            </w:r>
            <w:r>
              <w:rPr>
                <w:color w:val="auto"/>
                <w:sz w:val="19"/>
                <w:szCs w:val="19"/>
              </w:rPr>
              <w:fldChar w:fldCharType="end"/>
            </w:r>
          </w:p>
        </w:tc>
        <w:tc>
          <w:tcPr>
            <w:tcW w:w="1320" w:type="dxa"/>
            <w:tcBorders>
              <w:bottom w:val="double" w:sz="4" w:space="0" w:color="auto"/>
            </w:tcBorders>
            <w:vAlign w:val="bottom"/>
          </w:tcPr>
          <w:p w:rsidR="007753D8" w:rsidRPr="00F236AF" w:rsidRDefault="00430A2E" w:rsidP="007753D8">
            <w:pPr>
              <w:tabs>
                <w:tab w:val="left" w:pos="1242"/>
              </w:tabs>
              <w:ind w:right="-50"/>
              <w:jc w:val="right"/>
              <w:rPr>
                <w:color w:val="auto"/>
                <w:sz w:val="19"/>
                <w:szCs w:val="19"/>
              </w:rPr>
            </w:pPr>
            <w:r>
              <w:rPr>
                <w:color w:val="auto"/>
                <w:sz w:val="19"/>
                <w:szCs w:val="19"/>
              </w:rPr>
              <w:fldChar w:fldCharType="begin"/>
            </w:r>
            <w:r w:rsidR="009245AB">
              <w:rPr>
                <w:color w:val="auto"/>
                <w:sz w:val="19"/>
                <w:szCs w:val="19"/>
              </w:rPr>
              <w:instrText xml:space="preserve"> =d2-d3 </w:instrText>
            </w:r>
            <w:r>
              <w:rPr>
                <w:color w:val="auto"/>
                <w:sz w:val="19"/>
                <w:szCs w:val="19"/>
              </w:rPr>
              <w:fldChar w:fldCharType="separate"/>
            </w:r>
            <w:r w:rsidR="009245AB">
              <w:rPr>
                <w:noProof/>
                <w:color w:val="auto"/>
                <w:sz w:val="19"/>
                <w:szCs w:val="19"/>
              </w:rPr>
              <w:t>262.642</w:t>
            </w:r>
            <w:r>
              <w:rPr>
                <w:color w:val="auto"/>
                <w:sz w:val="19"/>
                <w:szCs w:val="19"/>
              </w:rPr>
              <w:fldChar w:fldCharType="end"/>
            </w:r>
          </w:p>
        </w:tc>
      </w:tr>
    </w:tbl>
    <w:p w:rsidR="00CD4E6D" w:rsidRPr="00D90816" w:rsidRDefault="00CD4E6D" w:rsidP="00B35CF5">
      <w:pPr>
        <w:tabs>
          <w:tab w:val="left" w:pos="540"/>
        </w:tabs>
        <w:spacing w:after="0" w:line="240" w:lineRule="auto"/>
        <w:jc w:val="both"/>
        <w:rPr>
          <w:b/>
          <w:color w:val="auto"/>
        </w:rPr>
      </w:pPr>
    </w:p>
    <w:p w:rsidR="00BA5AF0" w:rsidRPr="00D90816" w:rsidRDefault="00BA5AF0" w:rsidP="008E588A">
      <w:pPr>
        <w:tabs>
          <w:tab w:val="left" w:pos="540"/>
        </w:tabs>
        <w:jc w:val="both"/>
        <w:rPr>
          <w:b/>
          <w:color w:val="auto"/>
        </w:rPr>
      </w:pPr>
      <w:r w:rsidRPr="00D90816">
        <w:rPr>
          <w:b/>
          <w:color w:val="auto"/>
        </w:rPr>
        <w:t xml:space="preserve">II. </w:t>
      </w:r>
      <w:r w:rsidR="002D1FE5" w:rsidRPr="00D90816">
        <w:rPr>
          <w:b/>
          <w:color w:val="auto"/>
        </w:rPr>
        <w:tab/>
      </w:r>
      <w:r w:rsidRPr="00D90816">
        <w:rPr>
          <w:b/>
          <w:color w:val="auto"/>
        </w:rPr>
        <w:t xml:space="preserve">Comparative </w:t>
      </w:r>
      <w:r w:rsidR="007F3D7E" w:rsidRPr="00D90816">
        <w:rPr>
          <w:b/>
          <w:color w:val="auto"/>
        </w:rPr>
        <w:t>Financial Performance</w:t>
      </w:r>
    </w:p>
    <w:tbl>
      <w:tblPr>
        <w:tblStyle w:val="TableGrid"/>
        <w:tblW w:w="869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80"/>
        <w:gridCol w:w="1440"/>
        <w:gridCol w:w="1251"/>
        <w:gridCol w:w="1320"/>
      </w:tblGrid>
      <w:tr w:rsidR="00CD4E6D" w:rsidRPr="00BA5AF0" w:rsidTr="00CD4E6D">
        <w:tc>
          <w:tcPr>
            <w:tcW w:w="4680" w:type="dxa"/>
            <w:tcBorders>
              <w:top w:val="single" w:sz="4" w:space="0" w:color="auto"/>
              <w:bottom w:val="single" w:sz="4" w:space="0" w:color="auto"/>
            </w:tcBorders>
          </w:tcPr>
          <w:p w:rsidR="00CD4E6D" w:rsidRPr="00F236AF" w:rsidRDefault="00CD4E6D" w:rsidP="00CD4E6D">
            <w:pPr>
              <w:jc w:val="both"/>
              <w:rPr>
                <w:b/>
                <w:color w:val="auto"/>
                <w:sz w:val="19"/>
                <w:szCs w:val="19"/>
              </w:rPr>
            </w:pPr>
          </w:p>
        </w:tc>
        <w:tc>
          <w:tcPr>
            <w:tcW w:w="1440" w:type="dxa"/>
            <w:tcBorders>
              <w:top w:val="single" w:sz="4" w:space="0" w:color="auto"/>
              <w:bottom w:val="single" w:sz="4" w:space="0" w:color="auto"/>
            </w:tcBorders>
            <w:vAlign w:val="bottom"/>
          </w:tcPr>
          <w:p w:rsidR="00CD4E6D" w:rsidRPr="00F236AF" w:rsidRDefault="00CD4E6D" w:rsidP="00CD4E6D">
            <w:pPr>
              <w:jc w:val="right"/>
              <w:rPr>
                <w:b/>
                <w:color w:val="auto"/>
                <w:sz w:val="19"/>
                <w:szCs w:val="19"/>
              </w:rPr>
            </w:pPr>
            <w:r w:rsidRPr="00F236AF">
              <w:rPr>
                <w:b/>
                <w:color w:val="auto"/>
                <w:sz w:val="19"/>
                <w:szCs w:val="19"/>
              </w:rPr>
              <w:t>201</w:t>
            </w:r>
            <w:r>
              <w:rPr>
                <w:b/>
                <w:color w:val="auto"/>
                <w:sz w:val="19"/>
                <w:szCs w:val="19"/>
              </w:rPr>
              <w:t>7</w:t>
            </w:r>
          </w:p>
        </w:tc>
        <w:tc>
          <w:tcPr>
            <w:tcW w:w="1251" w:type="dxa"/>
            <w:tcBorders>
              <w:top w:val="single" w:sz="4" w:space="0" w:color="auto"/>
              <w:bottom w:val="single" w:sz="4" w:space="0" w:color="auto"/>
            </w:tcBorders>
            <w:vAlign w:val="bottom"/>
          </w:tcPr>
          <w:p w:rsidR="00CD4E6D" w:rsidRPr="00F236AF" w:rsidRDefault="00CD4E6D" w:rsidP="00CD4E6D">
            <w:pPr>
              <w:ind w:right="-50"/>
              <w:jc w:val="right"/>
              <w:rPr>
                <w:b/>
                <w:color w:val="auto"/>
                <w:sz w:val="19"/>
                <w:szCs w:val="19"/>
              </w:rPr>
            </w:pPr>
            <w:r w:rsidRPr="00F236AF">
              <w:rPr>
                <w:b/>
                <w:color w:val="auto"/>
                <w:sz w:val="19"/>
                <w:szCs w:val="19"/>
              </w:rPr>
              <w:t>201</w:t>
            </w:r>
            <w:r>
              <w:rPr>
                <w:b/>
                <w:color w:val="auto"/>
                <w:sz w:val="19"/>
                <w:szCs w:val="19"/>
              </w:rPr>
              <w:t>6</w:t>
            </w:r>
          </w:p>
        </w:tc>
        <w:tc>
          <w:tcPr>
            <w:tcW w:w="1320" w:type="dxa"/>
            <w:tcBorders>
              <w:top w:val="single" w:sz="4" w:space="0" w:color="auto"/>
              <w:bottom w:val="single" w:sz="4" w:space="0" w:color="auto"/>
            </w:tcBorders>
            <w:vAlign w:val="bottom"/>
          </w:tcPr>
          <w:p w:rsidR="00CD4E6D" w:rsidRPr="00F236AF" w:rsidRDefault="00CD4E6D" w:rsidP="00CD4E6D">
            <w:pPr>
              <w:ind w:right="-108"/>
              <w:jc w:val="right"/>
              <w:rPr>
                <w:b/>
                <w:color w:val="auto"/>
                <w:sz w:val="19"/>
                <w:szCs w:val="19"/>
              </w:rPr>
            </w:pPr>
            <w:r w:rsidRPr="00F236AF">
              <w:rPr>
                <w:b/>
                <w:color w:val="auto"/>
                <w:sz w:val="19"/>
                <w:szCs w:val="19"/>
              </w:rPr>
              <w:t>Increase</w:t>
            </w:r>
          </w:p>
          <w:p w:rsidR="00CD4E6D" w:rsidRPr="00F236AF" w:rsidRDefault="00CD4E6D" w:rsidP="00CD4E6D">
            <w:pPr>
              <w:ind w:right="-108"/>
              <w:jc w:val="right"/>
              <w:rPr>
                <w:b/>
                <w:color w:val="auto"/>
                <w:sz w:val="19"/>
                <w:szCs w:val="19"/>
              </w:rPr>
            </w:pPr>
            <w:r w:rsidRPr="00F236AF">
              <w:rPr>
                <w:b/>
                <w:color w:val="auto"/>
                <w:sz w:val="19"/>
                <w:szCs w:val="19"/>
              </w:rPr>
              <w:t>(Decrease)</w:t>
            </w:r>
          </w:p>
        </w:tc>
      </w:tr>
      <w:tr w:rsidR="00CD4E6D" w:rsidRPr="008C3363" w:rsidTr="00CD4E6D">
        <w:tc>
          <w:tcPr>
            <w:tcW w:w="4680" w:type="dxa"/>
            <w:tcBorders>
              <w:top w:val="single" w:sz="4" w:space="0" w:color="auto"/>
            </w:tcBorders>
            <w:vAlign w:val="bottom"/>
          </w:tcPr>
          <w:p w:rsidR="00CD4E6D" w:rsidRPr="00F236AF" w:rsidRDefault="00CD4E6D" w:rsidP="00CD4E6D">
            <w:pPr>
              <w:ind w:left="-108"/>
              <w:rPr>
                <w:color w:val="auto"/>
                <w:sz w:val="19"/>
                <w:szCs w:val="19"/>
              </w:rPr>
            </w:pPr>
            <w:r w:rsidRPr="00F236AF">
              <w:rPr>
                <w:color w:val="auto"/>
                <w:sz w:val="19"/>
                <w:szCs w:val="19"/>
              </w:rPr>
              <w:t>Total revenues</w:t>
            </w:r>
          </w:p>
        </w:tc>
        <w:tc>
          <w:tcPr>
            <w:tcW w:w="1440" w:type="dxa"/>
            <w:tcBorders>
              <w:top w:val="single" w:sz="4" w:space="0" w:color="auto"/>
            </w:tcBorders>
            <w:vAlign w:val="bottom"/>
          </w:tcPr>
          <w:p w:rsidR="00CD4E6D" w:rsidRPr="00F236AF" w:rsidRDefault="00F82F84" w:rsidP="00CD4E6D">
            <w:pPr>
              <w:tabs>
                <w:tab w:val="left" w:pos="1242"/>
              </w:tabs>
              <w:ind w:right="-18"/>
              <w:jc w:val="right"/>
              <w:rPr>
                <w:color w:val="auto"/>
                <w:sz w:val="19"/>
                <w:szCs w:val="19"/>
              </w:rPr>
            </w:pPr>
            <w:r>
              <w:rPr>
                <w:color w:val="auto"/>
                <w:sz w:val="19"/>
                <w:szCs w:val="19"/>
              </w:rPr>
              <w:t>147.356</w:t>
            </w:r>
          </w:p>
        </w:tc>
        <w:tc>
          <w:tcPr>
            <w:tcW w:w="1251" w:type="dxa"/>
            <w:tcBorders>
              <w:top w:val="single" w:sz="4" w:space="0" w:color="auto"/>
            </w:tcBorders>
            <w:vAlign w:val="bottom"/>
          </w:tcPr>
          <w:p w:rsidR="00CD4E6D" w:rsidRPr="00F236AF" w:rsidRDefault="00CD4E6D" w:rsidP="00CD4E6D">
            <w:pPr>
              <w:tabs>
                <w:tab w:val="left" w:pos="1242"/>
              </w:tabs>
              <w:ind w:right="-50"/>
              <w:jc w:val="right"/>
              <w:rPr>
                <w:color w:val="auto"/>
                <w:sz w:val="19"/>
                <w:szCs w:val="19"/>
              </w:rPr>
            </w:pPr>
            <w:r>
              <w:rPr>
                <w:color w:val="auto"/>
                <w:sz w:val="19"/>
                <w:szCs w:val="19"/>
              </w:rPr>
              <w:t>138.945</w:t>
            </w:r>
          </w:p>
        </w:tc>
        <w:tc>
          <w:tcPr>
            <w:tcW w:w="1320" w:type="dxa"/>
            <w:tcBorders>
              <w:top w:val="single" w:sz="4" w:space="0" w:color="auto"/>
            </w:tcBorders>
            <w:vAlign w:val="bottom"/>
          </w:tcPr>
          <w:p w:rsidR="00CD4E6D" w:rsidRPr="00F236AF" w:rsidRDefault="00430A2E" w:rsidP="007D6526">
            <w:pPr>
              <w:ind w:right="-67"/>
              <w:jc w:val="right"/>
              <w:rPr>
                <w:color w:val="auto"/>
                <w:sz w:val="19"/>
                <w:szCs w:val="19"/>
              </w:rPr>
            </w:pPr>
            <w:r>
              <w:rPr>
                <w:color w:val="auto"/>
                <w:sz w:val="19"/>
                <w:szCs w:val="19"/>
              </w:rPr>
              <w:fldChar w:fldCharType="begin"/>
            </w:r>
            <w:r w:rsidR="00EB7362">
              <w:rPr>
                <w:color w:val="auto"/>
                <w:sz w:val="19"/>
                <w:szCs w:val="19"/>
              </w:rPr>
              <w:instrText xml:space="preserve"> =b2-c2 </w:instrText>
            </w:r>
            <w:r>
              <w:rPr>
                <w:color w:val="auto"/>
                <w:sz w:val="19"/>
                <w:szCs w:val="19"/>
              </w:rPr>
              <w:fldChar w:fldCharType="separate"/>
            </w:r>
            <w:r w:rsidR="00EB7362">
              <w:rPr>
                <w:noProof/>
                <w:color w:val="auto"/>
                <w:sz w:val="19"/>
                <w:szCs w:val="19"/>
              </w:rPr>
              <w:t>8.411</w:t>
            </w:r>
            <w:r>
              <w:rPr>
                <w:color w:val="auto"/>
                <w:sz w:val="19"/>
                <w:szCs w:val="19"/>
              </w:rPr>
              <w:fldChar w:fldCharType="end"/>
            </w:r>
          </w:p>
        </w:tc>
      </w:tr>
      <w:tr w:rsidR="00CD4E6D" w:rsidRPr="008C3363" w:rsidTr="00CD4E6D">
        <w:tc>
          <w:tcPr>
            <w:tcW w:w="4680" w:type="dxa"/>
            <w:vAlign w:val="bottom"/>
          </w:tcPr>
          <w:p w:rsidR="00CD4E6D" w:rsidRPr="00F236AF" w:rsidRDefault="00CD4E6D" w:rsidP="00CD4E6D">
            <w:pPr>
              <w:ind w:left="-108"/>
              <w:rPr>
                <w:color w:val="auto"/>
                <w:sz w:val="19"/>
                <w:szCs w:val="19"/>
              </w:rPr>
            </w:pPr>
            <w:r w:rsidRPr="00F236AF">
              <w:rPr>
                <w:color w:val="auto"/>
                <w:sz w:val="19"/>
                <w:szCs w:val="19"/>
              </w:rPr>
              <w:t xml:space="preserve">Total </w:t>
            </w:r>
            <w:r w:rsidR="00EB7362">
              <w:rPr>
                <w:color w:val="auto"/>
                <w:sz w:val="19"/>
                <w:szCs w:val="19"/>
              </w:rPr>
              <w:t>o</w:t>
            </w:r>
            <w:r>
              <w:rPr>
                <w:color w:val="auto"/>
                <w:sz w:val="19"/>
                <w:szCs w:val="19"/>
              </w:rPr>
              <w:t xml:space="preserve">perating </w:t>
            </w:r>
            <w:r w:rsidR="00EB7362">
              <w:rPr>
                <w:color w:val="auto"/>
                <w:sz w:val="19"/>
                <w:szCs w:val="19"/>
              </w:rPr>
              <w:t>e</w:t>
            </w:r>
            <w:r>
              <w:rPr>
                <w:color w:val="auto"/>
                <w:sz w:val="19"/>
                <w:szCs w:val="19"/>
              </w:rPr>
              <w:t>xpenses</w:t>
            </w:r>
          </w:p>
        </w:tc>
        <w:tc>
          <w:tcPr>
            <w:tcW w:w="1440" w:type="dxa"/>
            <w:vAlign w:val="bottom"/>
          </w:tcPr>
          <w:p w:rsidR="00CD4E6D" w:rsidRPr="00F236AF" w:rsidRDefault="00F82F84" w:rsidP="00CD4E6D">
            <w:pPr>
              <w:tabs>
                <w:tab w:val="left" w:pos="1242"/>
              </w:tabs>
              <w:ind w:right="-18"/>
              <w:jc w:val="right"/>
              <w:rPr>
                <w:color w:val="auto"/>
                <w:sz w:val="19"/>
                <w:szCs w:val="19"/>
              </w:rPr>
            </w:pPr>
            <w:r>
              <w:rPr>
                <w:color w:val="auto"/>
                <w:sz w:val="19"/>
                <w:szCs w:val="19"/>
              </w:rPr>
              <w:t>406.899</w:t>
            </w:r>
          </w:p>
        </w:tc>
        <w:tc>
          <w:tcPr>
            <w:tcW w:w="1251" w:type="dxa"/>
            <w:vAlign w:val="bottom"/>
          </w:tcPr>
          <w:p w:rsidR="00CD4E6D" w:rsidRPr="00F236AF" w:rsidRDefault="009245AB" w:rsidP="00CD4E6D">
            <w:pPr>
              <w:tabs>
                <w:tab w:val="left" w:pos="1242"/>
              </w:tabs>
              <w:ind w:right="-50"/>
              <w:jc w:val="right"/>
              <w:rPr>
                <w:color w:val="auto"/>
                <w:sz w:val="19"/>
                <w:szCs w:val="19"/>
              </w:rPr>
            </w:pPr>
            <w:r>
              <w:rPr>
                <w:color w:val="auto"/>
                <w:sz w:val="19"/>
                <w:szCs w:val="19"/>
              </w:rPr>
              <w:t>944.072</w:t>
            </w:r>
          </w:p>
        </w:tc>
        <w:tc>
          <w:tcPr>
            <w:tcW w:w="1320" w:type="dxa"/>
            <w:vAlign w:val="bottom"/>
          </w:tcPr>
          <w:p w:rsidR="00CD4E6D" w:rsidRPr="00F236AF" w:rsidRDefault="007D6526" w:rsidP="007D6526">
            <w:pPr>
              <w:ind w:right="-67"/>
              <w:jc w:val="right"/>
              <w:rPr>
                <w:color w:val="auto"/>
                <w:sz w:val="19"/>
                <w:szCs w:val="19"/>
              </w:rPr>
            </w:pPr>
            <w:r>
              <w:rPr>
                <w:color w:val="auto"/>
                <w:sz w:val="19"/>
                <w:szCs w:val="19"/>
              </w:rPr>
              <w:t>(537.173)</w:t>
            </w:r>
          </w:p>
        </w:tc>
      </w:tr>
      <w:tr w:rsidR="00B35CF5" w:rsidRPr="008C3363" w:rsidTr="00CD4E6D">
        <w:tc>
          <w:tcPr>
            <w:tcW w:w="4680" w:type="dxa"/>
            <w:vAlign w:val="bottom"/>
          </w:tcPr>
          <w:p w:rsidR="00B35CF5" w:rsidRPr="00F236AF" w:rsidRDefault="000D477F" w:rsidP="00617C83">
            <w:pPr>
              <w:ind w:left="-108"/>
              <w:rPr>
                <w:color w:val="auto"/>
                <w:sz w:val="19"/>
                <w:szCs w:val="19"/>
              </w:rPr>
            </w:pPr>
            <w:r>
              <w:rPr>
                <w:color w:val="auto"/>
                <w:sz w:val="19"/>
                <w:szCs w:val="19"/>
              </w:rPr>
              <w:t xml:space="preserve">Deficit from </w:t>
            </w:r>
            <w:r w:rsidR="00EB7362">
              <w:rPr>
                <w:color w:val="auto"/>
                <w:sz w:val="19"/>
                <w:szCs w:val="19"/>
              </w:rPr>
              <w:t>c</w:t>
            </w:r>
            <w:r>
              <w:rPr>
                <w:color w:val="auto"/>
                <w:sz w:val="19"/>
                <w:szCs w:val="19"/>
              </w:rPr>
              <w:t xml:space="preserve">urrent </w:t>
            </w:r>
            <w:r w:rsidR="00EB7362">
              <w:rPr>
                <w:color w:val="auto"/>
                <w:sz w:val="19"/>
                <w:szCs w:val="19"/>
              </w:rPr>
              <w:t>o</w:t>
            </w:r>
            <w:r>
              <w:rPr>
                <w:color w:val="auto"/>
                <w:sz w:val="19"/>
                <w:szCs w:val="19"/>
              </w:rPr>
              <w:t>perations</w:t>
            </w:r>
          </w:p>
        </w:tc>
        <w:tc>
          <w:tcPr>
            <w:tcW w:w="1440" w:type="dxa"/>
            <w:vAlign w:val="bottom"/>
          </w:tcPr>
          <w:p w:rsidR="00CD4E6D" w:rsidRPr="00F236AF" w:rsidRDefault="00430A2E" w:rsidP="007753D8">
            <w:pPr>
              <w:ind w:right="-81"/>
              <w:jc w:val="right"/>
              <w:rPr>
                <w:color w:val="auto"/>
                <w:sz w:val="19"/>
                <w:szCs w:val="19"/>
              </w:rPr>
            </w:pPr>
            <w:r>
              <w:rPr>
                <w:color w:val="auto"/>
                <w:sz w:val="19"/>
                <w:szCs w:val="19"/>
              </w:rPr>
              <w:fldChar w:fldCharType="begin"/>
            </w:r>
            <w:r w:rsidR="00EB7362">
              <w:rPr>
                <w:color w:val="auto"/>
                <w:sz w:val="19"/>
                <w:szCs w:val="19"/>
              </w:rPr>
              <w:instrText xml:space="preserve"> =b2-b3 \# "#,###.000;(#,###.000)" </w:instrText>
            </w:r>
            <w:r>
              <w:rPr>
                <w:color w:val="auto"/>
                <w:sz w:val="19"/>
                <w:szCs w:val="19"/>
              </w:rPr>
              <w:fldChar w:fldCharType="separate"/>
            </w:r>
            <w:r w:rsidR="00EB7362">
              <w:rPr>
                <w:noProof/>
                <w:color w:val="auto"/>
                <w:sz w:val="19"/>
                <w:szCs w:val="19"/>
              </w:rPr>
              <w:t>(259.543)</w:t>
            </w:r>
            <w:r>
              <w:rPr>
                <w:color w:val="auto"/>
                <w:sz w:val="19"/>
                <w:szCs w:val="19"/>
              </w:rPr>
              <w:fldChar w:fldCharType="end"/>
            </w:r>
          </w:p>
        </w:tc>
        <w:tc>
          <w:tcPr>
            <w:tcW w:w="1251" w:type="dxa"/>
            <w:vAlign w:val="bottom"/>
          </w:tcPr>
          <w:p w:rsidR="00B35CF5" w:rsidRPr="00F236AF" w:rsidRDefault="00430A2E" w:rsidP="007753D8">
            <w:pPr>
              <w:tabs>
                <w:tab w:val="left" w:pos="1242"/>
              </w:tabs>
              <w:ind w:right="-111"/>
              <w:jc w:val="right"/>
              <w:rPr>
                <w:color w:val="auto"/>
                <w:sz w:val="19"/>
                <w:szCs w:val="19"/>
              </w:rPr>
            </w:pPr>
            <w:r>
              <w:rPr>
                <w:color w:val="auto"/>
                <w:sz w:val="19"/>
                <w:szCs w:val="19"/>
              </w:rPr>
              <w:fldChar w:fldCharType="begin"/>
            </w:r>
            <w:r w:rsidR="00EB7362">
              <w:rPr>
                <w:color w:val="auto"/>
                <w:sz w:val="19"/>
                <w:szCs w:val="19"/>
              </w:rPr>
              <w:instrText xml:space="preserve"> =c2-c3 \# "#,###.000;(#,###.000)" </w:instrText>
            </w:r>
            <w:r>
              <w:rPr>
                <w:color w:val="auto"/>
                <w:sz w:val="19"/>
                <w:szCs w:val="19"/>
              </w:rPr>
              <w:fldChar w:fldCharType="separate"/>
            </w:r>
            <w:r w:rsidR="00EB7362">
              <w:rPr>
                <w:noProof/>
                <w:color w:val="auto"/>
                <w:sz w:val="19"/>
                <w:szCs w:val="19"/>
              </w:rPr>
              <w:t>(805.127)</w:t>
            </w:r>
            <w:r>
              <w:rPr>
                <w:color w:val="auto"/>
                <w:sz w:val="19"/>
                <w:szCs w:val="19"/>
              </w:rPr>
              <w:fldChar w:fldCharType="end"/>
            </w:r>
          </w:p>
        </w:tc>
        <w:tc>
          <w:tcPr>
            <w:tcW w:w="1320" w:type="dxa"/>
            <w:vAlign w:val="bottom"/>
          </w:tcPr>
          <w:p w:rsidR="00B35CF5" w:rsidRPr="00F236AF" w:rsidRDefault="00430A2E" w:rsidP="007D6526">
            <w:pPr>
              <w:ind w:right="-67"/>
              <w:jc w:val="right"/>
              <w:rPr>
                <w:color w:val="auto"/>
                <w:sz w:val="19"/>
                <w:szCs w:val="19"/>
              </w:rPr>
            </w:pPr>
            <w:r>
              <w:rPr>
                <w:color w:val="auto"/>
                <w:sz w:val="19"/>
                <w:szCs w:val="19"/>
              </w:rPr>
              <w:fldChar w:fldCharType="begin"/>
            </w:r>
            <w:r w:rsidR="00EB7362">
              <w:rPr>
                <w:color w:val="auto"/>
                <w:sz w:val="19"/>
                <w:szCs w:val="19"/>
              </w:rPr>
              <w:instrText xml:space="preserve"> =b4-c4 </w:instrText>
            </w:r>
            <w:r>
              <w:rPr>
                <w:color w:val="auto"/>
                <w:sz w:val="19"/>
                <w:szCs w:val="19"/>
              </w:rPr>
              <w:fldChar w:fldCharType="separate"/>
            </w:r>
            <w:r w:rsidR="00EB7362">
              <w:rPr>
                <w:noProof/>
                <w:color w:val="auto"/>
                <w:sz w:val="19"/>
                <w:szCs w:val="19"/>
              </w:rPr>
              <w:t>545.584</w:t>
            </w:r>
            <w:r>
              <w:rPr>
                <w:color w:val="auto"/>
                <w:sz w:val="19"/>
                <w:szCs w:val="19"/>
              </w:rPr>
              <w:fldChar w:fldCharType="end"/>
            </w:r>
          </w:p>
        </w:tc>
      </w:tr>
      <w:tr w:rsidR="00B35CF5" w:rsidRPr="008C3363" w:rsidTr="00CD4E6D">
        <w:tc>
          <w:tcPr>
            <w:tcW w:w="4680" w:type="dxa"/>
            <w:vAlign w:val="bottom"/>
          </w:tcPr>
          <w:p w:rsidR="00B35CF5" w:rsidRPr="00F236AF" w:rsidRDefault="00EB7362" w:rsidP="00617C83">
            <w:pPr>
              <w:ind w:left="-108"/>
              <w:rPr>
                <w:color w:val="auto"/>
                <w:sz w:val="19"/>
                <w:szCs w:val="19"/>
              </w:rPr>
            </w:pPr>
            <w:r>
              <w:rPr>
                <w:color w:val="auto"/>
                <w:sz w:val="19"/>
                <w:szCs w:val="19"/>
              </w:rPr>
              <w:t>Other non-operating income</w:t>
            </w:r>
          </w:p>
        </w:tc>
        <w:tc>
          <w:tcPr>
            <w:tcW w:w="1440" w:type="dxa"/>
            <w:vAlign w:val="bottom"/>
          </w:tcPr>
          <w:p w:rsidR="00B35CF5" w:rsidRPr="00F236AF" w:rsidRDefault="00EB7362" w:rsidP="00F82F84">
            <w:pPr>
              <w:tabs>
                <w:tab w:val="left" w:pos="1242"/>
              </w:tabs>
              <w:ind w:right="-18"/>
              <w:jc w:val="right"/>
              <w:rPr>
                <w:color w:val="auto"/>
                <w:sz w:val="19"/>
                <w:szCs w:val="19"/>
              </w:rPr>
            </w:pPr>
            <w:r>
              <w:rPr>
                <w:color w:val="auto"/>
                <w:sz w:val="19"/>
                <w:szCs w:val="19"/>
              </w:rPr>
              <w:t>9.282</w:t>
            </w:r>
          </w:p>
        </w:tc>
        <w:tc>
          <w:tcPr>
            <w:tcW w:w="1251" w:type="dxa"/>
            <w:vAlign w:val="bottom"/>
          </w:tcPr>
          <w:p w:rsidR="00B35CF5" w:rsidRPr="00F236AF" w:rsidRDefault="00EB7362" w:rsidP="00CD4E6D">
            <w:pPr>
              <w:tabs>
                <w:tab w:val="left" w:pos="1242"/>
              </w:tabs>
              <w:ind w:right="-50"/>
              <w:jc w:val="right"/>
              <w:rPr>
                <w:color w:val="auto"/>
                <w:sz w:val="19"/>
                <w:szCs w:val="19"/>
              </w:rPr>
            </w:pPr>
            <w:r>
              <w:rPr>
                <w:color w:val="auto"/>
                <w:sz w:val="19"/>
                <w:szCs w:val="19"/>
              </w:rPr>
              <w:t>11.941</w:t>
            </w:r>
          </w:p>
        </w:tc>
        <w:tc>
          <w:tcPr>
            <w:tcW w:w="1320" w:type="dxa"/>
            <w:vAlign w:val="bottom"/>
          </w:tcPr>
          <w:p w:rsidR="00B35CF5" w:rsidRPr="00F236AF" w:rsidRDefault="00430A2E" w:rsidP="007D6526">
            <w:pPr>
              <w:ind w:right="-67"/>
              <w:jc w:val="right"/>
              <w:rPr>
                <w:color w:val="auto"/>
                <w:sz w:val="19"/>
                <w:szCs w:val="19"/>
              </w:rPr>
            </w:pPr>
            <w:r>
              <w:rPr>
                <w:color w:val="auto"/>
                <w:sz w:val="19"/>
                <w:szCs w:val="19"/>
              </w:rPr>
              <w:fldChar w:fldCharType="begin"/>
            </w:r>
            <w:r w:rsidR="00EB7362">
              <w:rPr>
                <w:color w:val="auto"/>
                <w:sz w:val="19"/>
                <w:szCs w:val="19"/>
              </w:rPr>
              <w:instrText xml:space="preserve"> =b5-c5 \# "#,###.000;(#,###.000)" </w:instrText>
            </w:r>
            <w:r>
              <w:rPr>
                <w:color w:val="auto"/>
                <w:sz w:val="19"/>
                <w:szCs w:val="19"/>
              </w:rPr>
              <w:fldChar w:fldCharType="separate"/>
            </w:r>
            <w:r w:rsidR="00EB7362">
              <w:rPr>
                <w:noProof/>
                <w:color w:val="auto"/>
                <w:sz w:val="19"/>
                <w:szCs w:val="19"/>
              </w:rPr>
              <w:t>(2.659)</w:t>
            </w:r>
            <w:r>
              <w:rPr>
                <w:color w:val="auto"/>
                <w:sz w:val="19"/>
                <w:szCs w:val="19"/>
              </w:rPr>
              <w:fldChar w:fldCharType="end"/>
            </w:r>
          </w:p>
        </w:tc>
      </w:tr>
      <w:tr w:rsidR="00EB7362" w:rsidRPr="008C3363" w:rsidTr="00CD4E6D">
        <w:tc>
          <w:tcPr>
            <w:tcW w:w="4680" w:type="dxa"/>
            <w:vAlign w:val="bottom"/>
          </w:tcPr>
          <w:p w:rsidR="00EB7362" w:rsidRPr="00F236AF" w:rsidRDefault="00EB7362" w:rsidP="00617C83">
            <w:pPr>
              <w:ind w:left="-108"/>
              <w:rPr>
                <w:color w:val="auto"/>
                <w:sz w:val="19"/>
                <w:szCs w:val="19"/>
              </w:rPr>
            </w:pPr>
            <w:r>
              <w:rPr>
                <w:color w:val="auto"/>
                <w:sz w:val="19"/>
                <w:szCs w:val="19"/>
              </w:rPr>
              <w:t>Subsidy income from the national government</w:t>
            </w:r>
          </w:p>
        </w:tc>
        <w:tc>
          <w:tcPr>
            <w:tcW w:w="1440" w:type="dxa"/>
            <w:vAlign w:val="bottom"/>
          </w:tcPr>
          <w:p w:rsidR="00EB7362" w:rsidRDefault="00EB7362" w:rsidP="00F82F84">
            <w:pPr>
              <w:tabs>
                <w:tab w:val="left" w:pos="1242"/>
              </w:tabs>
              <w:ind w:right="-18"/>
              <w:jc w:val="right"/>
              <w:rPr>
                <w:color w:val="auto"/>
                <w:sz w:val="19"/>
                <w:szCs w:val="19"/>
              </w:rPr>
            </w:pPr>
            <w:r>
              <w:rPr>
                <w:color w:val="auto"/>
                <w:sz w:val="19"/>
                <w:szCs w:val="19"/>
              </w:rPr>
              <w:t>553.931</w:t>
            </w:r>
          </w:p>
        </w:tc>
        <w:tc>
          <w:tcPr>
            <w:tcW w:w="1251" w:type="dxa"/>
            <w:vAlign w:val="bottom"/>
          </w:tcPr>
          <w:p w:rsidR="00EB7362" w:rsidRDefault="00EB7362" w:rsidP="00CD4E6D">
            <w:pPr>
              <w:tabs>
                <w:tab w:val="left" w:pos="1242"/>
              </w:tabs>
              <w:ind w:right="-50"/>
              <w:jc w:val="right"/>
              <w:rPr>
                <w:color w:val="auto"/>
                <w:sz w:val="19"/>
                <w:szCs w:val="19"/>
              </w:rPr>
            </w:pPr>
            <w:r>
              <w:rPr>
                <w:color w:val="auto"/>
                <w:sz w:val="19"/>
                <w:szCs w:val="19"/>
              </w:rPr>
              <w:t>686.500</w:t>
            </w:r>
          </w:p>
        </w:tc>
        <w:tc>
          <w:tcPr>
            <w:tcW w:w="1320" w:type="dxa"/>
            <w:vAlign w:val="bottom"/>
          </w:tcPr>
          <w:p w:rsidR="00EB7362" w:rsidRDefault="00430A2E" w:rsidP="007D6526">
            <w:pPr>
              <w:ind w:right="-67"/>
              <w:jc w:val="right"/>
              <w:rPr>
                <w:color w:val="auto"/>
                <w:sz w:val="19"/>
                <w:szCs w:val="19"/>
              </w:rPr>
            </w:pPr>
            <w:r>
              <w:rPr>
                <w:color w:val="auto"/>
                <w:sz w:val="19"/>
                <w:szCs w:val="19"/>
              </w:rPr>
              <w:fldChar w:fldCharType="begin"/>
            </w:r>
            <w:r w:rsidR="00EB7362">
              <w:rPr>
                <w:color w:val="auto"/>
                <w:sz w:val="19"/>
                <w:szCs w:val="19"/>
              </w:rPr>
              <w:instrText xml:space="preserve"> =b6-c6 \# "#,###.000;(#,###.000)" </w:instrText>
            </w:r>
            <w:r>
              <w:rPr>
                <w:color w:val="auto"/>
                <w:sz w:val="19"/>
                <w:szCs w:val="19"/>
              </w:rPr>
              <w:fldChar w:fldCharType="separate"/>
            </w:r>
            <w:r w:rsidR="00EB7362">
              <w:rPr>
                <w:noProof/>
                <w:color w:val="auto"/>
                <w:sz w:val="19"/>
                <w:szCs w:val="19"/>
              </w:rPr>
              <w:t>(132.569)</w:t>
            </w:r>
            <w:r>
              <w:rPr>
                <w:color w:val="auto"/>
                <w:sz w:val="19"/>
                <w:szCs w:val="19"/>
              </w:rPr>
              <w:fldChar w:fldCharType="end"/>
            </w:r>
          </w:p>
        </w:tc>
      </w:tr>
      <w:tr w:rsidR="00F82F84" w:rsidRPr="008C3363" w:rsidTr="00CD4E6D">
        <w:tc>
          <w:tcPr>
            <w:tcW w:w="4680" w:type="dxa"/>
            <w:tcBorders>
              <w:bottom w:val="double" w:sz="4" w:space="0" w:color="auto"/>
            </w:tcBorders>
            <w:vAlign w:val="bottom"/>
          </w:tcPr>
          <w:p w:rsidR="00F82F84" w:rsidRPr="00F236AF" w:rsidRDefault="00D90816" w:rsidP="00F82F84">
            <w:pPr>
              <w:ind w:left="-108"/>
              <w:rPr>
                <w:color w:val="auto"/>
                <w:sz w:val="19"/>
                <w:szCs w:val="19"/>
              </w:rPr>
            </w:pPr>
            <w:r>
              <w:rPr>
                <w:color w:val="auto"/>
                <w:sz w:val="19"/>
                <w:szCs w:val="19"/>
              </w:rPr>
              <w:t>Net surplus/(deficit)</w:t>
            </w:r>
          </w:p>
        </w:tc>
        <w:tc>
          <w:tcPr>
            <w:tcW w:w="1440" w:type="dxa"/>
            <w:tcBorders>
              <w:bottom w:val="double" w:sz="4" w:space="0" w:color="auto"/>
            </w:tcBorders>
            <w:vAlign w:val="bottom"/>
          </w:tcPr>
          <w:p w:rsidR="00F82F84" w:rsidRPr="00F236AF" w:rsidRDefault="00430A2E" w:rsidP="008D7A75">
            <w:pPr>
              <w:tabs>
                <w:tab w:val="left" w:pos="1242"/>
              </w:tabs>
              <w:ind w:right="-18"/>
              <w:jc w:val="right"/>
              <w:rPr>
                <w:color w:val="auto"/>
                <w:sz w:val="19"/>
                <w:szCs w:val="19"/>
              </w:rPr>
            </w:pPr>
            <w:r>
              <w:rPr>
                <w:color w:val="auto"/>
                <w:sz w:val="19"/>
                <w:szCs w:val="19"/>
              </w:rPr>
              <w:fldChar w:fldCharType="begin"/>
            </w:r>
            <w:r w:rsidR="00EB7362">
              <w:rPr>
                <w:color w:val="auto"/>
                <w:sz w:val="19"/>
                <w:szCs w:val="19"/>
              </w:rPr>
              <w:instrText xml:space="preserve"> =SUM(b4:b6) \# "#,##0.000;(#,##0.000)" </w:instrText>
            </w:r>
            <w:r>
              <w:rPr>
                <w:color w:val="auto"/>
                <w:sz w:val="19"/>
                <w:szCs w:val="19"/>
              </w:rPr>
              <w:fldChar w:fldCharType="separate"/>
            </w:r>
            <w:r w:rsidR="00EB7362">
              <w:rPr>
                <w:noProof/>
                <w:color w:val="auto"/>
                <w:sz w:val="19"/>
                <w:szCs w:val="19"/>
              </w:rPr>
              <w:t xml:space="preserve"> 303.67</w:t>
            </w:r>
            <w:r w:rsidR="008D7A75">
              <w:rPr>
                <w:noProof/>
                <w:color w:val="auto"/>
                <w:sz w:val="19"/>
                <w:szCs w:val="19"/>
              </w:rPr>
              <w:t>0</w:t>
            </w:r>
            <w:r>
              <w:rPr>
                <w:color w:val="auto"/>
                <w:sz w:val="19"/>
                <w:szCs w:val="19"/>
              </w:rPr>
              <w:fldChar w:fldCharType="end"/>
            </w:r>
          </w:p>
        </w:tc>
        <w:tc>
          <w:tcPr>
            <w:tcW w:w="1251" w:type="dxa"/>
            <w:tcBorders>
              <w:bottom w:val="double" w:sz="4" w:space="0" w:color="auto"/>
            </w:tcBorders>
            <w:vAlign w:val="bottom"/>
          </w:tcPr>
          <w:p w:rsidR="00F82F84" w:rsidRPr="00F236AF" w:rsidRDefault="00430A2E" w:rsidP="00F82F84">
            <w:pPr>
              <w:tabs>
                <w:tab w:val="left" w:pos="1242"/>
              </w:tabs>
              <w:ind w:right="-105"/>
              <w:jc w:val="right"/>
              <w:rPr>
                <w:color w:val="auto"/>
                <w:sz w:val="19"/>
                <w:szCs w:val="19"/>
              </w:rPr>
            </w:pPr>
            <w:r>
              <w:rPr>
                <w:color w:val="auto"/>
                <w:sz w:val="19"/>
                <w:szCs w:val="19"/>
              </w:rPr>
              <w:fldChar w:fldCharType="begin"/>
            </w:r>
            <w:r w:rsidR="00EB7362">
              <w:rPr>
                <w:color w:val="auto"/>
                <w:sz w:val="19"/>
                <w:szCs w:val="19"/>
              </w:rPr>
              <w:instrText xml:space="preserve"> =SUM(c4:c6) \# "#,###.000;(#,###.000)" </w:instrText>
            </w:r>
            <w:r>
              <w:rPr>
                <w:color w:val="auto"/>
                <w:sz w:val="19"/>
                <w:szCs w:val="19"/>
              </w:rPr>
              <w:fldChar w:fldCharType="separate"/>
            </w:r>
            <w:r w:rsidR="008D7A75">
              <w:rPr>
                <w:noProof/>
                <w:color w:val="auto"/>
                <w:sz w:val="19"/>
                <w:szCs w:val="19"/>
              </w:rPr>
              <w:t>(106.686</w:t>
            </w:r>
            <w:r w:rsidR="00EB7362">
              <w:rPr>
                <w:noProof/>
                <w:color w:val="auto"/>
                <w:sz w:val="19"/>
                <w:szCs w:val="19"/>
              </w:rPr>
              <w:t>)</w:t>
            </w:r>
            <w:r>
              <w:rPr>
                <w:color w:val="auto"/>
                <w:sz w:val="19"/>
                <w:szCs w:val="19"/>
              </w:rPr>
              <w:fldChar w:fldCharType="end"/>
            </w:r>
          </w:p>
        </w:tc>
        <w:tc>
          <w:tcPr>
            <w:tcW w:w="1320" w:type="dxa"/>
            <w:tcBorders>
              <w:bottom w:val="double" w:sz="4" w:space="0" w:color="auto"/>
            </w:tcBorders>
            <w:vAlign w:val="bottom"/>
          </w:tcPr>
          <w:p w:rsidR="00F82F84" w:rsidRPr="00F236AF" w:rsidRDefault="00EB7362" w:rsidP="008D7A75">
            <w:pPr>
              <w:ind w:right="-67"/>
              <w:jc w:val="right"/>
              <w:rPr>
                <w:color w:val="auto"/>
                <w:sz w:val="19"/>
                <w:szCs w:val="19"/>
              </w:rPr>
            </w:pPr>
            <w:r>
              <w:rPr>
                <w:color w:val="auto"/>
                <w:sz w:val="19"/>
                <w:szCs w:val="19"/>
              </w:rPr>
              <w:t>410.3</w:t>
            </w:r>
            <w:r w:rsidR="008D7A75">
              <w:rPr>
                <w:color w:val="auto"/>
                <w:sz w:val="19"/>
                <w:szCs w:val="19"/>
              </w:rPr>
              <w:t>56</w:t>
            </w:r>
          </w:p>
        </w:tc>
      </w:tr>
    </w:tbl>
    <w:p w:rsidR="00BA5AF0" w:rsidRDefault="00BA5AF0" w:rsidP="00B35CF5">
      <w:pPr>
        <w:spacing w:after="0" w:line="240" w:lineRule="auto"/>
        <w:jc w:val="both"/>
        <w:rPr>
          <w:b/>
          <w:color w:val="auto"/>
          <w:sz w:val="23"/>
          <w:szCs w:val="23"/>
        </w:rPr>
      </w:pPr>
    </w:p>
    <w:p w:rsidR="009245AB" w:rsidRDefault="009245AB" w:rsidP="00B35CF5">
      <w:pPr>
        <w:spacing w:after="0" w:line="240" w:lineRule="auto"/>
        <w:jc w:val="both"/>
        <w:rPr>
          <w:b/>
          <w:color w:val="auto"/>
          <w:sz w:val="23"/>
          <w:szCs w:val="23"/>
        </w:rPr>
      </w:pPr>
    </w:p>
    <w:p w:rsidR="009245AB" w:rsidRDefault="009245AB" w:rsidP="00B35CF5">
      <w:pPr>
        <w:spacing w:after="0" w:line="240" w:lineRule="auto"/>
        <w:jc w:val="both"/>
        <w:rPr>
          <w:b/>
          <w:color w:val="auto"/>
          <w:sz w:val="23"/>
          <w:szCs w:val="23"/>
        </w:rPr>
      </w:pPr>
    </w:p>
    <w:p w:rsidR="00AF342D" w:rsidRPr="00CE4F6D" w:rsidRDefault="002D1FE5" w:rsidP="00F82F84">
      <w:pPr>
        <w:tabs>
          <w:tab w:val="left" w:pos="540"/>
        </w:tabs>
        <w:jc w:val="both"/>
        <w:rPr>
          <w:b/>
          <w:color w:val="auto"/>
        </w:rPr>
      </w:pPr>
      <w:r w:rsidRPr="00CE4F6D">
        <w:rPr>
          <w:b/>
          <w:color w:val="auto"/>
        </w:rPr>
        <w:lastRenderedPageBreak/>
        <w:t>III.</w:t>
      </w:r>
      <w:r w:rsidRPr="00CE4F6D">
        <w:rPr>
          <w:b/>
          <w:color w:val="auto"/>
        </w:rPr>
        <w:tab/>
      </w:r>
      <w:r w:rsidR="00CE4F6D">
        <w:rPr>
          <w:b/>
          <w:color w:val="auto"/>
        </w:rPr>
        <w:t>Comparison of Budget a</w:t>
      </w:r>
      <w:r w:rsidR="00CE4F6D" w:rsidRPr="00CE4F6D">
        <w:rPr>
          <w:b/>
          <w:color w:val="auto"/>
        </w:rPr>
        <w:t>nd Actual Amounts</w:t>
      </w:r>
    </w:p>
    <w:tbl>
      <w:tblPr>
        <w:tblStyle w:val="TableGrid"/>
        <w:tblW w:w="869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80"/>
        <w:gridCol w:w="1440"/>
        <w:gridCol w:w="1251"/>
        <w:gridCol w:w="1320"/>
      </w:tblGrid>
      <w:tr w:rsidR="00F82F84" w:rsidRPr="00BA5AF0" w:rsidTr="00DF522E">
        <w:tc>
          <w:tcPr>
            <w:tcW w:w="4680" w:type="dxa"/>
            <w:tcBorders>
              <w:top w:val="single" w:sz="4" w:space="0" w:color="auto"/>
              <w:bottom w:val="single" w:sz="4" w:space="0" w:color="auto"/>
            </w:tcBorders>
          </w:tcPr>
          <w:p w:rsidR="00F82F84" w:rsidRPr="00F236AF" w:rsidRDefault="00F82F84" w:rsidP="00DF522E">
            <w:pPr>
              <w:jc w:val="both"/>
              <w:rPr>
                <w:b/>
                <w:color w:val="auto"/>
                <w:sz w:val="19"/>
                <w:szCs w:val="19"/>
              </w:rPr>
            </w:pPr>
          </w:p>
        </w:tc>
        <w:tc>
          <w:tcPr>
            <w:tcW w:w="1440" w:type="dxa"/>
            <w:tcBorders>
              <w:top w:val="single" w:sz="4" w:space="0" w:color="auto"/>
              <w:bottom w:val="single" w:sz="4" w:space="0" w:color="auto"/>
            </w:tcBorders>
            <w:vAlign w:val="bottom"/>
          </w:tcPr>
          <w:p w:rsidR="00F82F84" w:rsidRPr="00F236AF" w:rsidRDefault="007D6526" w:rsidP="00DF522E">
            <w:pPr>
              <w:jc w:val="right"/>
              <w:rPr>
                <w:b/>
                <w:color w:val="auto"/>
                <w:sz w:val="19"/>
                <w:szCs w:val="19"/>
              </w:rPr>
            </w:pPr>
            <w:r>
              <w:rPr>
                <w:b/>
                <w:color w:val="auto"/>
                <w:sz w:val="19"/>
                <w:szCs w:val="19"/>
              </w:rPr>
              <w:t>Budget</w:t>
            </w:r>
          </w:p>
        </w:tc>
        <w:tc>
          <w:tcPr>
            <w:tcW w:w="1251" w:type="dxa"/>
            <w:tcBorders>
              <w:top w:val="single" w:sz="4" w:space="0" w:color="auto"/>
              <w:bottom w:val="single" w:sz="4" w:space="0" w:color="auto"/>
            </w:tcBorders>
            <w:vAlign w:val="bottom"/>
          </w:tcPr>
          <w:p w:rsidR="00F82F84" w:rsidRPr="00F236AF" w:rsidRDefault="007D6526" w:rsidP="00DF522E">
            <w:pPr>
              <w:ind w:right="-50"/>
              <w:jc w:val="right"/>
              <w:rPr>
                <w:b/>
                <w:color w:val="auto"/>
                <w:sz w:val="19"/>
                <w:szCs w:val="19"/>
              </w:rPr>
            </w:pPr>
            <w:r>
              <w:rPr>
                <w:b/>
                <w:color w:val="auto"/>
                <w:sz w:val="19"/>
                <w:szCs w:val="19"/>
              </w:rPr>
              <w:t>Actual</w:t>
            </w:r>
          </w:p>
        </w:tc>
        <w:tc>
          <w:tcPr>
            <w:tcW w:w="1320" w:type="dxa"/>
            <w:tcBorders>
              <w:top w:val="single" w:sz="4" w:space="0" w:color="auto"/>
              <w:bottom w:val="single" w:sz="4" w:space="0" w:color="auto"/>
            </w:tcBorders>
            <w:vAlign w:val="bottom"/>
          </w:tcPr>
          <w:p w:rsidR="00F82F84" w:rsidRPr="00F236AF" w:rsidRDefault="00F82F84" w:rsidP="00DF522E">
            <w:pPr>
              <w:ind w:right="-108"/>
              <w:jc w:val="right"/>
              <w:rPr>
                <w:b/>
                <w:color w:val="auto"/>
                <w:sz w:val="19"/>
                <w:szCs w:val="19"/>
              </w:rPr>
            </w:pPr>
            <w:r w:rsidRPr="00F236AF">
              <w:rPr>
                <w:b/>
                <w:color w:val="auto"/>
                <w:sz w:val="19"/>
                <w:szCs w:val="19"/>
              </w:rPr>
              <w:t>Increase</w:t>
            </w:r>
          </w:p>
          <w:p w:rsidR="00F82F84" w:rsidRPr="00F236AF" w:rsidRDefault="00F82F84" w:rsidP="00DF522E">
            <w:pPr>
              <w:ind w:right="-108"/>
              <w:jc w:val="right"/>
              <w:rPr>
                <w:b/>
                <w:color w:val="auto"/>
                <w:sz w:val="19"/>
                <w:szCs w:val="19"/>
              </w:rPr>
            </w:pPr>
            <w:r w:rsidRPr="00F236AF">
              <w:rPr>
                <w:b/>
                <w:color w:val="auto"/>
                <w:sz w:val="19"/>
                <w:szCs w:val="19"/>
              </w:rPr>
              <w:t>(Decrease)</w:t>
            </w:r>
          </w:p>
        </w:tc>
      </w:tr>
      <w:tr w:rsidR="00F82F84" w:rsidRPr="008C3363" w:rsidTr="00911CB2">
        <w:tc>
          <w:tcPr>
            <w:tcW w:w="4680" w:type="dxa"/>
            <w:tcBorders>
              <w:top w:val="single" w:sz="4" w:space="0" w:color="auto"/>
            </w:tcBorders>
          </w:tcPr>
          <w:p w:rsidR="00F82F84" w:rsidRPr="00F82F84" w:rsidRDefault="00F82F84" w:rsidP="00F82F84">
            <w:pPr>
              <w:ind w:left="-105"/>
              <w:rPr>
                <w:color w:val="auto"/>
                <w:sz w:val="19"/>
                <w:szCs w:val="19"/>
              </w:rPr>
            </w:pPr>
            <w:r w:rsidRPr="00F82F84">
              <w:rPr>
                <w:color w:val="auto"/>
                <w:sz w:val="19"/>
                <w:szCs w:val="19"/>
              </w:rPr>
              <w:t>Personnel services</w:t>
            </w:r>
          </w:p>
        </w:tc>
        <w:tc>
          <w:tcPr>
            <w:tcW w:w="1440" w:type="dxa"/>
            <w:tcBorders>
              <w:top w:val="single" w:sz="4" w:space="0" w:color="auto"/>
            </w:tcBorders>
            <w:vAlign w:val="bottom"/>
          </w:tcPr>
          <w:p w:rsidR="00F82F84" w:rsidRPr="00F236AF" w:rsidRDefault="00F82F84" w:rsidP="00F82F84">
            <w:pPr>
              <w:tabs>
                <w:tab w:val="left" w:pos="1242"/>
              </w:tabs>
              <w:ind w:right="-18"/>
              <w:jc w:val="right"/>
              <w:rPr>
                <w:color w:val="auto"/>
                <w:sz w:val="19"/>
                <w:szCs w:val="19"/>
              </w:rPr>
            </w:pPr>
            <w:r>
              <w:rPr>
                <w:color w:val="auto"/>
                <w:sz w:val="19"/>
                <w:szCs w:val="19"/>
              </w:rPr>
              <w:t>573.830</w:t>
            </w:r>
          </w:p>
        </w:tc>
        <w:tc>
          <w:tcPr>
            <w:tcW w:w="1251" w:type="dxa"/>
            <w:tcBorders>
              <w:top w:val="single" w:sz="4" w:space="0" w:color="auto"/>
            </w:tcBorders>
            <w:vAlign w:val="bottom"/>
          </w:tcPr>
          <w:p w:rsidR="00F82F84" w:rsidRPr="00F236AF" w:rsidRDefault="007D6526" w:rsidP="00F82F84">
            <w:pPr>
              <w:tabs>
                <w:tab w:val="left" w:pos="1242"/>
              </w:tabs>
              <w:ind w:right="-50"/>
              <w:jc w:val="right"/>
              <w:rPr>
                <w:color w:val="auto"/>
                <w:sz w:val="19"/>
                <w:szCs w:val="19"/>
              </w:rPr>
            </w:pPr>
            <w:r>
              <w:rPr>
                <w:color w:val="auto"/>
                <w:sz w:val="19"/>
                <w:szCs w:val="19"/>
              </w:rPr>
              <w:t>183.776</w:t>
            </w:r>
          </w:p>
        </w:tc>
        <w:tc>
          <w:tcPr>
            <w:tcW w:w="1320" w:type="dxa"/>
            <w:tcBorders>
              <w:top w:val="single" w:sz="4" w:space="0" w:color="auto"/>
            </w:tcBorders>
            <w:vAlign w:val="bottom"/>
          </w:tcPr>
          <w:p w:rsidR="00F82F84" w:rsidRPr="00F236AF" w:rsidRDefault="00430A2E" w:rsidP="00F82F84">
            <w:pPr>
              <w:ind w:right="-67"/>
              <w:jc w:val="right"/>
              <w:rPr>
                <w:color w:val="auto"/>
                <w:sz w:val="19"/>
                <w:szCs w:val="19"/>
              </w:rPr>
            </w:pPr>
            <w:r>
              <w:rPr>
                <w:color w:val="auto"/>
                <w:sz w:val="19"/>
                <w:szCs w:val="19"/>
              </w:rPr>
              <w:fldChar w:fldCharType="begin"/>
            </w:r>
            <w:r w:rsidR="007D6526">
              <w:rPr>
                <w:color w:val="auto"/>
                <w:sz w:val="19"/>
                <w:szCs w:val="19"/>
              </w:rPr>
              <w:instrText xml:space="preserve"> =b2-c2 \# "#,##0.000;(#,##0.000)" </w:instrText>
            </w:r>
            <w:r>
              <w:rPr>
                <w:color w:val="auto"/>
                <w:sz w:val="19"/>
                <w:szCs w:val="19"/>
              </w:rPr>
              <w:fldChar w:fldCharType="separate"/>
            </w:r>
            <w:r w:rsidR="007D6526">
              <w:rPr>
                <w:noProof/>
                <w:color w:val="auto"/>
                <w:sz w:val="19"/>
                <w:szCs w:val="19"/>
              </w:rPr>
              <w:t xml:space="preserve"> 390.054</w:t>
            </w:r>
            <w:r>
              <w:rPr>
                <w:color w:val="auto"/>
                <w:sz w:val="19"/>
                <w:szCs w:val="19"/>
              </w:rPr>
              <w:fldChar w:fldCharType="end"/>
            </w:r>
          </w:p>
        </w:tc>
      </w:tr>
      <w:tr w:rsidR="00506F80" w:rsidRPr="008C3363" w:rsidTr="00911CB2">
        <w:tc>
          <w:tcPr>
            <w:tcW w:w="4680" w:type="dxa"/>
          </w:tcPr>
          <w:p w:rsidR="00506F80" w:rsidRPr="00F82F84" w:rsidRDefault="00506F80" w:rsidP="00506F80">
            <w:pPr>
              <w:ind w:left="-105"/>
              <w:rPr>
                <w:color w:val="auto"/>
                <w:sz w:val="19"/>
                <w:szCs w:val="19"/>
              </w:rPr>
            </w:pPr>
            <w:r w:rsidRPr="00F82F84">
              <w:rPr>
                <w:color w:val="auto"/>
                <w:sz w:val="19"/>
                <w:szCs w:val="19"/>
              </w:rPr>
              <w:t>Maintenance and other operating expenses</w:t>
            </w:r>
          </w:p>
        </w:tc>
        <w:tc>
          <w:tcPr>
            <w:tcW w:w="1440" w:type="dxa"/>
            <w:vAlign w:val="bottom"/>
          </w:tcPr>
          <w:p w:rsidR="00506F80" w:rsidRPr="00F236AF" w:rsidRDefault="00506F80" w:rsidP="00506F80">
            <w:pPr>
              <w:tabs>
                <w:tab w:val="left" w:pos="1242"/>
              </w:tabs>
              <w:ind w:right="-18"/>
              <w:jc w:val="right"/>
              <w:rPr>
                <w:color w:val="auto"/>
                <w:sz w:val="19"/>
                <w:szCs w:val="19"/>
              </w:rPr>
            </w:pPr>
            <w:r>
              <w:rPr>
                <w:color w:val="auto"/>
                <w:sz w:val="19"/>
                <w:szCs w:val="19"/>
              </w:rPr>
              <w:t>345.458</w:t>
            </w:r>
          </w:p>
        </w:tc>
        <w:tc>
          <w:tcPr>
            <w:tcW w:w="1251" w:type="dxa"/>
            <w:vAlign w:val="bottom"/>
          </w:tcPr>
          <w:p w:rsidR="00506F80" w:rsidRPr="00F236AF" w:rsidRDefault="007D6526" w:rsidP="00506F80">
            <w:pPr>
              <w:tabs>
                <w:tab w:val="left" w:pos="1242"/>
              </w:tabs>
              <w:ind w:right="-50"/>
              <w:jc w:val="right"/>
              <w:rPr>
                <w:color w:val="auto"/>
                <w:sz w:val="19"/>
                <w:szCs w:val="19"/>
              </w:rPr>
            </w:pPr>
            <w:r>
              <w:rPr>
                <w:color w:val="auto"/>
                <w:sz w:val="19"/>
                <w:szCs w:val="19"/>
              </w:rPr>
              <w:t>155.714</w:t>
            </w:r>
          </w:p>
        </w:tc>
        <w:tc>
          <w:tcPr>
            <w:tcW w:w="1320" w:type="dxa"/>
            <w:vAlign w:val="bottom"/>
          </w:tcPr>
          <w:p w:rsidR="00506F80" w:rsidRPr="00F236AF" w:rsidRDefault="00430A2E" w:rsidP="00506F80">
            <w:pPr>
              <w:ind w:right="-67"/>
              <w:jc w:val="right"/>
              <w:rPr>
                <w:color w:val="auto"/>
                <w:sz w:val="19"/>
                <w:szCs w:val="19"/>
              </w:rPr>
            </w:pPr>
            <w:r>
              <w:rPr>
                <w:color w:val="auto"/>
                <w:sz w:val="19"/>
                <w:szCs w:val="19"/>
              </w:rPr>
              <w:fldChar w:fldCharType="begin"/>
            </w:r>
            <w:r w:rsidR="007D6526">
              <w:rPr>
                <w:color w:val="auto"/>
                <w:sz w:val="19"/>
                <w:szCs w:val="19"/>
              </w:rPr>
              <w:instrText xml:space="preserve"> =b3-c3 </w:instrText>
            </w:r>
            <w:r>
              <w:rPr>
                <w:color w:val="auto"/>
                <w:sz w:val="19"/>
                <w:szCs w:val="19"/>
              </w:rPr>
              <w:fldChar w:fldCharType="separate"/>
            </w:r>
            <w:r w:rsidR="007D6526">
              <w:rPr>
                <w:noProof/>
                <w:color w:val="auto"/>
                <w:sz w:val="19"/>
                <w:szCs w:val="19"/>
              </w:rPr>
              <w:t>189.744</w:t>
            </w:r>
            <w:r>
              <w:rPr>
                <w:color w:val="auto"/>
                <w:sz w:val="19"/>
                <w:szCs w:val="19"/>
              </w:rPr>
              <w:fldChar w:fldCharType="end"/>
            </w:r>
            <w:r>
              <w:rPr>
                <w:color w:val="auto"/>
                <w:sz w:val="19"/>
                <w:szCs w:val="19"/>
              </w:rPr>
              <w:fldChar w:fldCharType="begin"/>
            </w:r>
            <w:r w:rsidR="00506F80">
              <w:rPr>
                <w:color w:val="auto"/>
                <w:sz w:val="19"/>
                <w:szCs w:val="19"/>
              </w:rPr>
              <w:instrText xml:space="preserve"> =b2-c2 \# "#,##0.000;(#,##0.000)" </w:instrText>
            </w:r>
            <w:r>
              <w:rPr>
                <w:color w:val="auto"/>
                <w:sz w:val="19"/>
                <w:szCs w:val="19"/>
              </w:rPr>
              <w:fldChar w:fldCharType="separate"/>
            </w:r>
            <w:r w:rsidR="00506F80">
              <w:rPr>
                <w:noProof/>
                <w:color w:val="auto"/>
                <w:sz w:val="19"/>
                <w:szCs w:val="19"/>
              </w:rPr>
              <w:t xml:space="preserve"> </w:t>
            </w:r>
            <w:r>
              <w:rPr>
                <w:color w:val="auto"/>
                <w:sz w:val="19"/>
                <w:szCs w:val="19"/>
              </w:rPr>
              <w:fldChar w:fldCharType="end"/>
            </w:r>
          </w:p>
        </w:tc>
      </w:tr>
      <w:tr w:rsidR="00506F80" w:rsidRPr="008C3363" w:rsidTr="00911CB2">
        <w:tc>
          <w:tcPr>
            <w:tcW w:w="4680" w:type="dxa"/>
          </w:tcPr>
          <w:p w:rsidR="00506F80" w:rsidRPr="00F82F84" w:rsidRDefault="00506F80" w:rsidP="00506F80">
            <w:pPr>
              <w:ind w:left="-105"/>
              <w:rPr>
                <w:color w:val="auto"/>
                <w:sz w:val="19"/>
                <w:szCs w:val="19"/>
              </w:rPr>
            </w:pPr>
            <w:r w:rsidRPr="00F82F84">
              <w:rPr>
                <w:color w:val="auto"/>
                <w:sz w:val="19"/>
                <w:szCs w:val="19"/>
              </w:rPr>
              <w:t>Investment outlay</w:t>
            </w:r>
          </w:p>
        </w:tc>
        <w:tc>
          <w:tcPr>
            <w:tcW w:w="1440" w:type="dxa"/>
            <w:vAlign w:val="bottom"/>
          </w:tcPr>
          <w:p w:rsidR="00506F80" w:rsidRPr="00F236AF" w:rsidRDefault="00506F80" w:rsidP="00506F80">
            <w:pPr>
              <w:jc w:val="right"/>
              <w:rPr>
                <w:color w:val="auto"/>
                <w:sz w:val="19"/>
                <w:szCs w:val="19"/>
              </w:rPr>
            </w:pPr>
            <w:r>
              <w:rPr>
                <w:color w:val="auto"/>
                <w:sz w:val="19"/>
                <w:szCs w:val="19"/>
              </w:rPr>
              <w:t>329.139</w:t>
            </w:r>
          </w:p>
        </w:tc>
        <w:tc>
          <w:tcPr>
            <w:tcW w:w="1251" w:type="dxa"/>
            <w:vAlign w:val="bottom"/>
          </w:tcPr>
          <w:p w:rsidR="00506F80" w:rsidRPr="00F236AF" w:rsidRDefault="007D6526" w:rsidP="00506F80">
            <w:pPr>
              <w:tabs>
                <w:tab w:val="left" w:pos="1242"/>
              </w:tabs>
              <w:ind w:right="-50"/>
              <w:jc w:val="right"/>
              <w:rPr>
                <w:color w:val="auto"/>
                <w:sz w:val="19"/>
                <w:szCs w:val="19"/>
              </w:rPr>
            </w:pPr>
            <w:r>
              <w:rPr>
                <w:color w:val="auto"/>
                <w:sz w:val="19"/>
                <w:szCs w:val="19"/>
              </w:rPr>
              <w:t>224.303</w:t>
            </w:r>
          </w:p>
        </w:tc>
        <w:tc>
          <w:tcPr>
            <w:tcW w:w="1320" w:type="dxa"/>
            <w:vAlign w:val="bottom"/>
          </w:tcPr>
          <w:p w:rsidR="00506F80" w:rsidRPr="00F236AF" w:rsidRDefault="00430A2E" w:rsidP="00506F80">
            <w:pPr>
              <w:ind w:right="-67"/>
              <w:jc w:val="right"/>
              <w:rPr>
                <w:color w:val="auto"/>
                <w:sz w:val="19"/>
                <w:szCs w:val="19"/>
              </w:rPr>
            </w:pPr>
            <w:r>
              <w:rPr>
                <w:color w:val="auto"/>
                <w:sz w:val="19"/>
                <w:szCs w:val="19"/>
              </w:rPr>
              <w:fldChar w:fldCharType="begin"/>
            </w:r>
            <w:r w:rsidR="007D6526">
              <w:rPr>
                <w:color w:val="auto"/>
                <w:sz w:val="19"/>
                <w:szCs w:val="19"/>
              </w:rPr>
              <w:instrText xml:space="preserve"> =b4-c4 \# "#,##0.000;(#,##0.000)" </w:instrText>
            </w:r>
            <w:r>
              <w:rPr>
                <w:color w:val="auto"/>
                <w:sz w:val="19"/>
                <w:szCs w:val="19"/>
              </w:rPr>
              <w:fldChar w:fldCharType="separate"/>
            </w:r>
            <w:r w:rsidR="007D6526">
              <w:rPr>
                <w:noProof/>
                <w:color w:val="auto"/>
                <w:sz w:val="19"/>
                <w:szCs w:val="19"/>
              </w:rPr>
              <w:t xml:space="preserve"> 104.836</w:t>
            </w:r>
            <w:r>
              <w:rPr>
                <w:color w:val="auto"/>
                <w:sz w:val="19"/>
                <w:szCs w:val="19"/>
              </w:rPr>
              <w:fldChar w:fldCharType="end"/>
            </w:r>
          </w:p>
        </w:tc>
      </w:tr>
      <w:tr w:rsidR="00506F80" w:rsidRPr="008C3363" w:rsidTr="00911CB2">
        <w:tc>
          <w:tcPr>
            <w:tcW w:w="4680" w:type="dxa"/>
          </w:tcPr>
          <w:p w:rsidR="00506F80" w:rsidRPr="00F82F84" w:rsidRDefault="00506F80" w:rsidP="00506F80">
            <w:pPr>
              <w:ind w:left="-105"/>
              <w:rPr>
                <w:color w:val="auto"/>
                <w:sz w:val="19"/>
                <w:szCs w:val="19"/>
              </w:rPr>
            </w:pPr>
            <w:r w:rsidRPr="00F82F84">
              <w:rPr>
                <w:color w:val="auto"/>
                <w:sz w:val="19"/>
                <w:szCs w:val="19"/>
              </w:rPr>
              <w:t>Capital outlay</w:t>
            </w:r>
          </w:p>
        </w:tc>
        <w:tc>
          <w:tcPr>
            <w:tcW w:w="1440" w:type="dxa"/>
            <w:vAlign w:val="bottom"/>
          </w:tcPr>
          <w:p w:rsidR="00506F80" w:rsidRPr="00F236AF" w:rsidRDefault="00506F80" w:rsidP="00506F80">
            <w:pPr>
              <w:tabs>
                <w:tab w:val="left" w:pos="1242"/>
              </w:tabs>
              <w:ind w:right="-18"/>
              <w:jc w:val="right"/>
              <w:rPr>
                <w:color w:val="auto"/>
                <w:sz w:val="19"/>
                <w:szCs w:val="19"/>
              </w:rPr>
            </w:pPr>
            <w:r>
              <w:rPr>
                <w:color w:val="auto"/>
                <w:sz w:val="19"/>
                <w:szCs w:val="19"/>
              </w:rPr>
              <w:t>126.990</w:t>
            </w:r>
          </w:p>
        </w:tc>
        <w:tc>
          <w:tcPr>
            <w:tcW w:w="1251" w:type="dxa"/>
            <w:vAlign w:val="bottom"/>
          </w:tcPr>
          <w:p w:rsidR="00506F80" w:rsidRPr="00F236AF" w:rsidRDefault="007D6526" w:rsidP="00506F80">
            <w:pPr>
              <w:tabs>
                <w:tab w:val="left" w:pos="1242"/>
              </w:tabs>
              <w:ind w:right="-50"/>
              <w:jc w:val="right"/>
              <w:rPr>
                <w:color w:val="auto"/>
                <w:sz w:val="19"/>
                <w:szCs w:val="19"/>
              </w:rPr>
            </w:pPr>
            <w:r>
              <w:rPr>
                <w:color w:val="auto"/>
                <w:sz w:val="19"/>
                <w:szCs w:val="19"/>
              </w:rPr>
              <w:t>17.726</w:t>
            </w:r>
          </w:p>
        </w:tc>
        <w:tc>
          <w:tcPr>
            <w:tcW w:w="1320" w:type="dxa"/>
            <w:vAlign w:val="bottom"/>
          </w:tcPr>
          <w:p w:rsidR="00506F80" w:rsidRPr="00F236AF" w:rsidRDefault="00430A2E" w:rsidP="00506F80">
            <w:pPr>
              <w:ind w:right="-67"/>
              <w:jc w:val="right"/>
              <w:rPr>
                <w:color w:val="auto"/>
                <w:sz w:val="19"/>
                <w:szCs w:val="19"/>
              </w:rPr>
            </w:pPr>
            <w:r>
              <w:rPr>
                <w:color w:val="auto"/>
                <w:sz w:val="19"/>
                <w:szCs w:val="19"/>
              </w:rPr>
              <w:fldChar w:fldCharType="begin"/>
            </w:r>
            <w:r w:rsidR="007D6526">
              <w:rPr>
                <w:color w:val="auto"/>
                <w:sz w:val="19"/>
                <w:szCs w:val="19"/>
              </w:rPr>
              <w:instrText xml:space="preserve"> =b5-c5 \# "#,##0.000;(#,##0.000)" </w:instrText>
            </w:r>
            <w:r>
              <w:rPr>
                <w:color w:val="auto"/>
                <w:sz w:val="19"/>
                <w:szCs w:val="19"/>
              </w:rPr>
              <w:fldChar w:fldCharType="separate"/>
            </w:r>
            <w:r w:rsidR="007D6526">
              <w:rPr>
                <w:noProof/>
                <w:color w:val="auto"/>
                <w:sz w:val="19"/>
                <w:szCs w:val="19"/>
              </w:rPr>
              <w:t xml:space="preserve"> 109.264</w:t>
            </w:r>
            <w:r>
              <w:rPr>
                <w:color w:val="auto"/>
                <w:sz w:val="19"/>
                <w:szCs w:val="19"/>
              </w:rPr>
              <w:fldChar w:fldCharType="end"/>
            </w:r>
          </w:p>
        </w:tc>
      </w:tr>
      <w:tr w:rsidR="00506F80" w:rsidRPr="008C3363" w:rsidTr="00911CB2">
        <w:tc>
          <w:tcPr>
            <w:tcW w:w="4680" w:type="dxa"/>
          </w:tcPr>
          <w:p w:rsidR="00506F80" w:rsidRPr="00F82F84" w:rsidRDefault="00506F80" w:rsidP="00506F80">
            <w:pPr>
              <w:ind w:left="-105"/>
              <w:rPr>
                <w:color w:val="auto"/>
                <w:sz w:val="19"/>
                <w:szCs w:val="19"/>
              </w:rPr>
            </w:pPr>
            <w:r w:rsidRPr="00F82F84">
              <w:rPr>
                <w:color w:val="auto"/>
                <w:sz w:val="19"/>
                <w:szCs w:val="19"/>
              </w:rPr>
              <w:t>Financial Expenses</w:t>
            </w:r>
          </w:p>
        </w:tc>
        <w:tc>
          <w:tcPr>
            <w:tcW w:w="1440" w:type="dxa"/>
            <w:vAlign w:val="bottom"/>
          </w:tcPr>
          <w:p w:rsidR="00506F80" w:rsidRDefault="00075259" w:rsidP="00506F80">
            <w:pPr>
              <w:tabs>
                <w:tab w:val="left" w:pos="1242"/>
              </w:tabs>
              <w:ind w:right="-18"/>
              <w:jc w:val="right"/>
              <w:rPr>
                <w:color w:val="auto"/>
                <w:sz w:val="19"/>
                <w:szCs w:val="19"/>
              </w:rPr>
            </w:pPr>
            <w:r>
              <w:rPr>
                <w:color w:val="auto"/>
                <w:sz w:val="19"/>
                <w:szCs w:val="19"/>
              </w:rPr>
              <w:t>0</w:t>
            </w:r>
            <w:r w:rsidR="00506F80">
              <w:rPr>
                <w:color w:val="auto"/>
                <w:sz w:val="19"/>
                <w:szCs w:val="19"/>
              </w:rPr>
              <w:t>.480</w:t>
            </w:r>
          </w:p>
        </w:tc>
        <w:tc>
          <w:tcPr>
            <w:tcW w:w="1251" w:type="dxa"/>
            <w:vAlign w:val="bottom"/>
          </w:tcPr>
          <w:p w:rsidR="00506F80" w:rsidRDefault="00075259" w:rsidP="00506F80">
            <w:pPr>
              <w:tabs>
                <w:tab w:val="left" w:pos="1242"/>
              </w:tabs>
              <w:ind w:right="-50"/>
              <w:jc w:val="right"/>
              <w:rPr>
                <w:color w:val="auto"/>
                <w:sz w:val="19"/>
                <w:szCs w:val="19"/>
              </w:rPr>
            </w:pPr>
            <w:r>
              <w:rPr>
                <w:color w:val="auto"/>
                <w:sz w:val="19"/>
                <w:szCs w:val="19"/>
              </w:rPr>
              <w:t>0</w:t>
            </w:r>
            <w:r w:rsidR="007D6526">
              <w:rPr>
                <w:color w:val="auto"/>
                <w:sz w:val="19"/>
                <w:szCs w:val="19"/>
              </w:rPr>
              <w:t>.019</w:t>
            </w:r>
          </w:p>
        </w:tc>
        <w:tc>
          <w:tcPr>
            <w:tcW w:w="1320" w:type="dxa"/>
            <w:vAlign w:val="bottom"/>
          </w:tcPr>
          <w:p w:rsidR="00506F80" w:rsidRPr="00F236AF" w:rsidRDefault="00430A2E" w:rsidP="00506F80">
            <w:pPr>
              <w:ind w:right="-67"/>
              <w:jc w:val="right"/>
              <w:rPr>
                <w:color w:val="auto"/>
                <w:sz w:val="19"/>
                <w:szCs w:val="19"/>
              </w:rPr>
            </w:pPr>
            <w:r>
              <w:rPr>
                <w:color w:val="auto"/>
                <w:sz w:val="19"/>
                <w:szCs w:val="19"/>
              </w:rPr>
              <w:fldChar w:fldCharType="begin"/>
            </w:r>
            <w:r w:rsidR="007D6526">
              <w:rPr>
                <w:color w:val="auto"/>
                <w:sz w:val="19"/>
                <w:szCs w:val="19"/>
              </w:rPr>
              <w:instrText xml:space="preserve"> =b6-c6 \# "#,##0.000;(#,##0.000)" </w:instrText>
            </w:r>
            <w:r>
              <w:rPr>
                <w:color w:val="auto"/>
                <w:sz w:val="19"/>
                <w:szCs w:val="19"/>
              </w:rPr>
              <w:fldChar w:fldCharType="separate"/>
            </w:r>
            <w:r w:rsidR="007D6526">
              <w:rPr>
                <w:noProof/>
                <w:color w:val="auto"/>
                <w:sz w:val="19"/>
                <w:szCs w:val="19"/>
              </w:rPr>
              <w:t xml:space="preserve">   0.461</w:t>
            </w:r>
            <w:r>
              <w:rPr>
                <w:color w:val="auto"/>
                <w:sz w:val="19"/>
                <w:szCs w:val="19"/>
              </w:rPr>
              <w:fldChar w:fldCharType="end"/>
            </w:r>
          </w:p>
        </w:tc>
      </w:tr>
      <w:tr w:rsidR="00506F80" w:rsidRPr="008C3363" w:rsidTr="00911CB2">
        <w:tc>
          <w:tcPr>
            <w:tcW w:w="4680" w:type="dxa"/>
          </w:tcPr>
          <w:p w:rsidR="00506F80" w:rsidRPr="00F82F84" w:rsidRDefault="00506F80" w:rsidP="00506F80">
            <w:pPr>
              <w:ind w:left="-105"/>
              <w:rPr>
                <w:color w:val="auto"/>
                <w:sz w:val="19"/>
                <w:szCs w:val="19"/>
              </w:rPr>
            </w:pPr>
            <w:r w:rsidRPr="00F82F84">
              <w:rPr>
                <w:color w:val="auto"/>
                <w:sz w:val="19"/>
                <w:szCs w:val="19"/>
              </w:rPr>
              <w:t>Accounts payable</w:t>
            </w:r>
          </w:p>
        </w:tc>
        <w:tc>
          <w:tcPr>
            <w:tcW w:w="1440" w:type="dxa"/>
            <w:vAlign w:val="bottom"/>
          </w:tcPr>
          <w:p w:rsidR="00506F80" w:rsidRDefault="00506F80" w:rsidP="00506F80">
            <w:pPr>
              <w:tabs>
                <w:tab w:val="left" w:pos="1242"/>
              </w:tabs>
              <w:ind w:right="-18"/>
              <w:jc w:val="right"/>
              <w:rPr>
                <w:color w:val="auto"/>
                <w:sz w:val="19"/>
                <w:szCs w:val="19"/>
              </w:rPr>
            </w:pPr>
            <w:r>
              <w:rPr>
                <w:color w:val="auto"/>
                <w:sz w:val="19"/>
                <w:szCs w:val="19"/>
              </w:rPr>
              <w:t>89.823</w:t>
            </w:r>
          </w:p>
        </w:tc>
        <w:tc>
          <w:tcPr>
            <w:tcW w:w="1251" w:type="dxa"/>
            <w:vAlign w:val="bottom"/>
          </w:tcPr>
          <w:p w:rsidR="00506F80" w:rsidRDefault="007D6526" w:rsidP="00506F80">
            <w:pPr>
              <w:tabs>
                <w:tab w:val="left" w:pos="1242"/>
              </w:tabs>
              <w:ind w:right="-50"/>
              <w:jc w:val="right"/>
              <w:rPr>
                <w:color w:val="auto"/>
                <w:sz w:val="19"/>
                <w:szCs w:val="19"/>
              </w:rPr>
            </w:pPr>
            <w:r>
              <w:rPr>
                <w:color w:val="auto"/>
                <w:sz w:val="19"/>
                <w:szCs w:val="19"/>
              </w:rPr>
              <w:t>55.141</w:t>
            </w:r>
          </w:p>
        </w:tc>
        <w:tc>
          <w:tcPr>
            <w:tcW w:w="1320" w:type="dxa"/>
            <w:vAlign w:val="bottom"/>
          </w:tcPr>
          <w:p w:rsidR="00506F80" w:rsidRPr="00F236AF" w:rsidRDefault="00430A2E" w:rsidP="00506F80">
            <w:pPr>
              <w:ind w:right="-67"/>
              <w:jc w:val="right"/>
              <w:rPr>
                <w:color w:val="auto"/>
                <w:sz w:val="19"/>
                <w:szCs w:val="19"/>
              </w:rPr>
            </w:pPr>
            <w:r>
              <w:rPr>
                <w:color w:val="auto"/>
                <w:sz w:val="19"/>
                <w:szCs w:val="19"/>
              </w:rPr>
              <w:fldChar w:fldCharType="begin"/>
            </w:r>
            <w:r w:rsidR="007D6526">
              <w:rPr>
                <w:color w:val="auto"/>
                <w:sz w:val="19"/>
                <w:szCs w:val="19"/>
              </w:rPr>
              <w:instrText xml:space="preserve"> =b7-c7 \# "#,##0.000;(#,##0.000)" </w:instrText>
            </w:r>
            <w:r>
              <w:rPr>
                <w:color w:val="auto"/>
                <w:sz w:val="19"/>
                <w:szCs w:val="19"/>
              </w:rPr>
              <w:fldChar w:fldCharType="separate"/>
            </w:r>
            <w:r w:rsidR="007D6526">
              <w:rPr>
                <w:noProof/>
                <w:color w:val="auto"/>
                <w:sz w:val="19"/>
                <w:szCs w:val="19"/>
              </w:rPr>
              <w:t xml:space="preserve">  34.682</w:t>
            </w:r>
            <w:r>
              <w:rPr>
                <w:color w:val="auto"/>
                <w:sz w:val="19"/>
                <w:szCs w:val="19"/>
              </w:rPr>
              <w:fldChar w:fldCharType="end"/>
            </w:r>
          </w:p>
        </w:tc>
      </w:tr>
      <w:tr w:rsidR="00506F80" w:rsidRPr="008C3363" w:rsidTr="00DF522E">
        <w:tc>
          <w:tcPr>
            <w:tcW w:w="4680" w:type="dxa"/>
            <w:tcBorders>
              <w:bottom w:val="double" w:sz="4" w:space="0" w:color="auto"/>
            </w:tcBorders>
            <w:vAlign w:val="bottom"/>
          </w:tcPr>
          <w:p w:rsidR="00506F80" w:rsidRPr="00F236AF" w:rsidRDefault="00506F80" w:rsidP="00506F80">
            <w:pPr>
              <w:ind w:left="-108"/>
              <w:rPr>
                <w:color w:val="auto"/>
                <w:sz w:val="19"/>
                <w:szCs w:val="19"/>
              </w:rPr>
            </w:pPr>
          </w:p>
        </w:tc>
        <w:tc>
          <w:tcPr>
            <w:tcW w:w="1440" w:type="dxa"/>
            <w:tcBorders>
              <w:bottom w:val="double" w:sz="4" w:space="0" w:color="auto"/>
            </w:tcBorders>
            <w:vAlign w:val="bottom"/>
          </w:tcPr>
          <w:p w:rsidR="00506F80" w:rsidRPr="00F236AF" w:rsidRDefault="00430A2E" w:rsidP="00506F80">
            <w:pPr>
              <w:tabs>
                <w:tab w:val="left" w:pos="1242"/>
              </w:tabs>
              <w:ind w:right="-18"/>
              <w:jc w:val="right"/>
              <w:rPr>
                <w:color w:val="auto"/>
                <w:sz w:val="19"/>
                <w:szCs w:val="19"/>
              </w:rPr>
            </w:pPr>
            <w:r>
              <w:rPr>
                <w:color w:val="auto"/>
                <w:sz w:val="19"/>
                <w:szCs w:val="19"/>
              </w:rPr>
              <w:fldChar w:fldCharType="begin"/>
            </w:r>
            <w:r w:rsidR="007D6526">
              <w:rPr>
                <w:color w:val="auto"/>
                <w:sz w:val="19"/>
                <w:szCs w:val="19"/>
              </w:rPr>
              <w:instrText xml:space="preserve"> =sum(b2:b7) \# "#,##0.000;(#,##0.000)" </w:instrText>
            </w:r>
            <w:r>
              <w:rPr>
                <w:color w:val="auto"/>
                <w:sz w:val="19"/>
                <w:szCs w:val="19"/>
              </w:rPr>
              <w:fldChar w:fldCharType="separate"/>
            </w:r>
            <w:r w:rsidR="007D6526">
              <w:rPr>
                <w:noProof/>
                <w:color w:val="auto"/>
                <w:sz w:val="19"/>
                <w:szCs w:val="19"/>
              </w:rPr>
              <w:t>1,465.720</w:t>
            </w:r>
            <w:r>
              <w:rPr>
                <w:color w:val="auto"/>
                <w:sz w:val="19"/>
                <w:szCs w:val="19"/>
              </w:rPr>
              <w:fldChar w:fldCharType="end"/>
            </w:r>
          </w:p>
        </w:tc>
        <w:tc>
          <w:tcPr>
            <w:tcW w:w="1251" w:type="dxa"/>
            <w:tcBorders>
              <w:bottom w:val="double" w:sz="4" w:space="0" w:color="auto"/>
            </w:tcBorders>
            <w:vAlign w:val="bottom"/>
          </w:tcPr>
          <w:p w:rsidR="00506F80" w:rsidRDefault="00430A2E" w:rsidP="00506F80">
            <w:pPr>
              <w:tabs>
                <w:tab w:val="left" w:pos="1242"/>
              </w:tabs>
              <w:ind w:right="-50"/>
              <w:jc w:val="right"/>
              <w:rPr>
                <w:color w:val="auto"/>
                <w:sz w:val="19"/>
                <w:szCs w:val="19"/>
              </w:rPr>
            </w:pPr>
            <w:r>
              <w:rPr>
                <w:color w:val="auto"/>
                <w:sz w:val="19"/>
                <w:szCs w:val="19"/>
              </w:rPr>
              <w:fldChar w:fldCharType="begin"/>
            </w:r>
            <w:r w:rsidR="007D6526">
              <w:rPr>
                <w:color w:val="auto"/>
                <w:sz w:val="19"/>
                <w:szCs w:val="19"/>
              </w:rPr>
              <w:instrText xml:space="preserve"> =SUM(c2:c7) </w:instrText>
            </w:r>
            <w:r>
              <w:rPr>
                <w:color w:val="auto"/>
                <w:sz w:val="19"/>
                <w:szCs w:val="19"/>
              </w:rPr>
              <w:fldChar w:fldCharType="separate"/>
            </w:r>
            <w:r w:rsidR="007D6526">
              <w:rPr>
                <w:noProof/>
                <w:color w:val="auto"/>
                <w:sz w:val="19"/>
                <w:szCs w:val="19"/>
              </w:rPr>
              <w:t>636.679</w:t>
            </w:r>
            <w:r>
              <w:rPr>
                <w:color w:val="auto"/>
                <w:sz w:val="19"/>
                <w:szCs w:val="19"/>
              </w:rPr>
              <w:fldChar w:fldCharType="end"/>
            </w:r>
          </w:p>
        </w:tc>
        <w:tc>
          <w:tcPr>
            <w:tcW w:w="1320" w:type="dxa"/>
            <w:tcBorders>
              <w:bottom w:val="double" w:sz="4" w:space="0" w:color="auto"/>
            </w:tcBorders>
            <w:vAlign w:val="bottom"/>
          </w:tcPr>
          <w:p w:rsidR="00506F80" w:rsidRPr="00F236AF" w:rsidRDefault="00430A2E" w:rsidP="00506F80">
            <w:pPr>
              <w:ind w:right="-67"/>
              <w:jc w:val="right"/>
              <w:rPr>
                <w:color w:val="auto"/>
                <w:sz w:val="19"/>
                <w:szCs w:val="19"/>
              </w:rPr>
            </w:pPr>
            <w:r>
              <w:rPr>
                <w:color w:val="auto"/>
                <w:sz w:val="19"/>
                <w:szCs w:val="19"/>
              </w:rPr>
              <w:fldChar w:fldCharType="begin"/>
            </w:r>
            <w:r w:rsidR="007D6526">
              <w:rPr>
                <w:color w:val="auto"/>
                <w:sz w:val="19"/>
                <w:szCs w:val="19"/>
              </w:rPr>
              <w:instrText xml:space="preserve"> =sum(d2:d7) \# "#,##0.000;(#,##0.000)" </w:instrText>
            </w:r>
            <w:r>
              <w:rPr>
                <w:color w:val="auto"/>
                <w:sz w:val="19"/>
                <w:szCs w:val="19"/>
              </w:rPr>
              <w:fldChar w:fldCharType="separate"/>
            </w:r>
            <w:r w:rsidR="007D6526">
              <w:rPr>
                <w:noProof/>
                <w:color w:val="auto"/>
                <w:sz w:val="19"/>
                <w:szCs w:val="19"/>
              </w:rPr>
              <w:t xml:space="preserve"> 829.041</w:t>
            </w:r>
            <w:r>
              <w:rPr>
                <w:color w:val="auto"/>
                <w:sz w:val="19"/>
                <w:szCs w:val="19"/>
              </w:rPr>
              <w:fldChar w:fldCharType="end"/>
            </w:r>
          </w:p>
        </w:tc>
      </w:tr>
    </w:tbl>
    <w:p w:rsidR="00F82F84" w:rsidRDefault="00F82F84" w:rsidP="00BC0D52">
      <w:pPr>
        <w:spacing w:after="0" w:line="240" w:lineRule="auto"/>
        <w:jc w:val="both"/>
        <w:rPr>
          <w:b/>
          <w:color w:val="auto"/>
        </w:rPr>
      </w:pPr>
    </w:p>
    <w:p w:rsidR="006655A8" w:rsidRDefault="006655A8" w:rsidP="00BC0D52">
      <w:pPr>
        <w:spacing w:after="0" w:line="240" w:lineRule="auto"/>
        <w:jc w:val="both"/>
        <w:rPr>
          <w:b/>
          <w:color w:val="auto"/>
        </w:rPr>
      </w:pPr>
    </w:p>
    <w:p w:rsidR="002D1FE5" w:rsidRDefault="00B35CF5" w:rsidP="007D6526">
      <w:pPr>
        <w:spacing w:after="0" w:line="240" w:lineRule="auto"/>
        <w:jc w:val="both"/>
        <w:rPr>
          <w:b/>
          <w:color w:val="auto"/>
        </w:rPr>
      </w:pPr>
      <w:r>
        <w:rPr>
          <w:b/>
          <w:color w:val="auto"/>
        </w:rPr>
        <w:t>S</w:t>
      </w:r>
      <w:r w:rsidR="00DF19C9" w:rsidRPr="003E31E0">
        <w:rPr>
          <w:b/>
          <w:color w:val="auto"/>
        </w:rPr>
        <w:t>COPE OF AUDIT</w:t>
      </w:r>
    </w:p>
    <w:p w:rsidR="00BD28A3" w:rsidRDefault="00BD28A3" w:rsidP="007D6526">
      <w:pPr>
        <w:spacing w:after="0" w:line="240" w:lineRule="auto"/>
        <w:jc w:val="both"/>
        <w:rPr>
          <w:b/>
          <w:color w:val="auto"/>
        </w:rPr>
      </w:pPr>
    </w:p>
    <w:p w:rsidR="004F4EB2" w:rsidRPr="004F4EB2" w:rsidRDefault="004F4EB2" w:rsidP="004F4EB2">
      <w:pPr>
        <w:spacing w:after="0" w:line="240" w:lineRule="auto"/>
        <w:jc w:val="both"/>
        <w:rPr>
          <w:rFonts w:eastAsia="Calibri"/>
          <w:color w:val="000000"/>
        </w:rPr>
      </w:pPr>
      <w:r w:rsidRPr="004F4EB2">
        <w:rPr>
          <w:rFonts w:eastAsia="Calibri"/>
          <w:color w:val="000000"/>
        </w:rPr>
        <w:t>Our audit covered the operations and financial transactions of N</w:t>
      </w:r>
      <w:r>
        <w:rPr>
          <w:color w:val="000000"/>
        </w:rPr>
        <w:t>T</w:t>
      </w:r>
      <w:r w:rsidRPr="004F4EB2">
        <w:rPr>
          <w:rFonts w:eastAsia="Calibri"/>
          <w:color w:val="000000"/>
        </w:rPr>
        <w:t xml:space="preserve">A for Calendar </w:t>
      </w:r>
      <w:r w:rsidR="00831699">
        <w:rPr>
          <w:rFonts w:eastAsia="Calibri"/>
          <w:color w:val="000000"/>
        </w:rPr>
        <w:t xml:space="preserve">         </w:t>
      </w:r>
      <w:r w:rsidRPr="004F4EB2">
        <w:rPr>
          <w:rFonts w:eastAsia="Calibri"/>
          <w:color w:val="000000"/>
        </w:rPr>
        <w:t>Year (CY) 2017.  The audit involved performing procedures to obtain audit evidence about the amounts and disclosures in the financial statements. Our audit was also made to assess the propriety of financial transactions in compliance with laws, rules and regulations and to identify improvement opportunities.</w:t>
      </w:r>
    </w:p>
    <w:p w:rsidR="00CE4F6D" w:rsidRPr="003E31E0" w:rsidRDefault="00CE4F6D" w:rsidP="007D6526">
      <w:pPr>
        <w:spacing w:after="0" w:line="240" w:lineRule="auto"/>
        <w:jc w:val="both"/>
        <w:rPr>
          <w:b/>
          <w:color w:val="auto"/>
        </w:rPr>
      </w:pPr>
    </w:p>
    <w:p w:rsidR="00BC0D52" w:rsidRDefault="00BC0D52" w:rsidP="007D6526">
      <w:pPr>
        <w:spacing w:after="0" w:line="240" w:lineRule="auto"/>
        <w:jc w:val="both"/>
        <w:rPr>
          <w:b/>
          <w:color w:val="auto"/>
        </w:rPr>
      </w:pPr>
    </w:p>
    <w:p w:rsidR="002D1FE5" w:rsidRDefault="00427E2B" w:rsidP="007D6526">
      <w:pPr>
        <w:spacing w:after="0" w:line="240" w:lineRule="auto"/>
        <w:jc w:val="both"/>
        <w:rPr>
          <w:b/>
          <w:color w:val="auto"/>
        </w:rPr>
      </w:pPr>
      <w:r w:rsidRPr="00427E2B">
        <w:rPr>
          <w:b/>
          <w:color w:val="auto"/>
        </w:rPr>
        <w:t>AUDITOR’S OPINION</w:t>
      </w:r>
    </w:p>
    <w:p w:rsidR="00BC0D52" w:rsidRDefault="00BC0D52" w:rsidP="007D6526">
      <w:pPr>
        <w:spacing w:after="0" w:line="240" w:lineRule="auto"/>
        <w:jc w:val="both"/>
        <w:rPr>
          <w:b/>
          <w:color w:val="auto"/>
        </w:rPr>
      </w:pPr>
    </w:p>
    <w:p w:rsidR="004F4EB2" w:rsidRPr="004F4EB2" w:rsidRDefault="004F4EB2" w:rsidP="004F4EB2">
      <w:pPr>
        <w:spacing w:after="0" w:line="240" w:lineRule="auto"/>
        <w:jc w:val="both"/>
        <w:rPr>
          <w:color w:val="000000" w:themeColor="text1"/>
        </w:rPr>
      </w:pPr>
      <w:r w:rsidRPr="004F4EB2">
        <w:rPr>
          <w:color w:val="000000" w:themeColor="text1"/>
        </w:rPr>
        <w:t>We rendered a qualified opinion on the fairness of the presentation of the financial statements in view of the following:</w:t>
      </w:r>
    </w:p>
    <w:p w:rsidR="004F4EB2" w:rsidRDefault="004F4EB2" w:rsidP="007D6526">
      <w:pPr>
        <w:spacing w:after="0" w:line="240" w:lineRule="auto"/>
        <w:jc w:val="both"/>
        <w:rPr>
          <w:b/>
          <w:color w:val="auto"/>
        </w:rPr>
      </w:pPr>
    </w:p>
    <w:p w:rsidR="00807DC1" w:rsidRDefault="00807DC1" w:rsidP="0074308B">
      <w:pPr>
        <w:pStyle w:val="ListParagraph"/>
        <w:numPr>
          <w:ilvl w:val="0"/>
          <w:numId w:val="11"/>
        </w:numPr>
        <w:tabs>
          <w:tab w:val="left" w:pos="720"/>
        </w:tabs>
        <w:ind w:left="0" w:firstLine="0"/>
        <w:jc w:val="both"/>
        <w:rPr>
          <w:rFonts w:ascii="Arial" w:hAnsi="Arial" w:cs="Arial"/>
          <w:color w:val="000000" w:themeColor="text1"/>
        </w:rPr>
      </w:pPr>
      <w:r w:rsidRPr="00807DC1">
        <w:rPr>
          <w:rFonts w:ascii="Arial" w:hAnsi="Arial" w:cs="Arial"/>
          <w:color w:val="000000" w:themeColor="text1"/>
        </w:rPr>
        <w:t xml:space="preserve">The Cash-Collecting Officers, Receivables, Other Current Assets and Other Non-Current Assets accounts aggregating P167.881 million representing 19.32 per cent of the total year-end balances of P868.853 million are not reliable, considering that these assets have been dormant for more than 10 to 29 years due to, among others: </w:t>
      </w:r>
      <w:r w:rsidR="00831699">
        <w:rPr>
          <w:rFonts w:ascii="Arial" w:hAnsi="Arial" w:cs="Arial"/>
          <w:color w:val="000000" w:themeColor="text1"/>
        </w:rPr>
        <w:t xml:space="preserve">             </w:t>
      </w:r>
      <w:r w:rsidRPr="00807DC1">
        <w:rPr>
          <w:rFonts w:ascii="Arial" w:hAnsi="Arial" w:cs="Arial"/>
          <w:color w:val="000000" w:themeColor="text1"/>
        </w:rPr>
        <w:t xml:space="preserve">(a) undocumented balances of P97.235 million carried over from seven defunct tobacco agencies in 1987; (b) inclusion of unsettled loans of farmers/traders/cooperatives since 1996 totaling P21.335 million with an interest of P15.265 million; (c) receivables from officers and employees no longer in the service in the total amount of P69,631; </w:t>
      </w:r>
      <w:r w:rsidR="00831699">
        <w:rPr>
          <w:rFonts w:ascii="Arial" w:hAnsi="Arial" w:cs="Arial"/>
          <w:color w:val="000000" w:themeColor="text1"/>
        </w:rPr>
        <w:t xml:space="preserve">            </w:t>
      </w:r>
      <w:r w:rsidRPr="00807DC1">
        <w:rPr>
          <w:rFonts w:ascii="Arial" w:hAnsi="Arial" w:cs="Arial"/>
          <w:color w:val="000000" w:themeColor="text1"/>
        </w:rPr>
        <w:t>(d) unrecovered investment in bonds amounting to P28.634 million as the case of recovery had been dismissed by the court; and (e) non-provision of impairment loss on various dormant accounts.</w:t>
      </w:r>
    </w:p>
    <w:p w:rsidR="00807DC1" w:rsidRDefault="00807DC1" w:rsidP="0074308B">
      <w:pPr>
        <w:pStyle w:val="ListParagraph"/>
        <w:tabs>
          <w:tab w:val="left" w:pos="720"/>
        </w:tabs>
        <w:ind w:left="0"/>
        <w:jc w:val="both"/>
        <w:rPr>
          <w:rFonts w:ascii="Arial" w:hAnsi="Arial" w:cs="Arial"/>
          <w:color w:val="000000" w:themeColor="text1"/>
        </w:rPr>
      </w:pPr>
    </w:p>
    <w:p w:rsidR="00376B34" w:rsidRPr="00376B34" w:rsidRDefault="00376B34" w:rsidP="0074308B">
      <w:pPr>
        <w:pStyle w:val="ListParagraph"/>
        <w:numPr>
          <w:ilvl w:val="0"/>
          <w:numId w:val="11"/>
        </w:numPr>
        <w:tabs>
          <w:tab w:val="left" w:pos="720"/>
        </w:tabs>
        <w:ind w:left="0" w:firstLine="0"/>
        <w:jc w:val="both"/>
        <w:rPr>
          <w:rFonts w:ascii="Arial" w:hAnsi="Arial" w:cs="Arial"/>
          <w:bCs/>
        </w:rPr>
      </w:pPr>
      <w:r w:rsidRPr="00376B34">
        <w:rPr>
          <w:rFonts w:ascii="Arial" w:hAnsi="Arial" w:cs="Arial"/>
          <w:bCs/>
        </w:rPr>
        <w:t>The existence and completeness of the Property, Plant and Equipment (PPE) account with total cost of P702.433 million as at December 31, 2017 could not be ascertained due to: (a) incomplete physical inventory of immovable assets in NTA–Central Office (CO) totaling P</w:t>
      </w:r>
      <w:r w:rsidRPr="00376B34">
        <w:rPr>
          <w:rFonts w:ascii="Arial" w:hAnsi="Arial" w:cs="Arial"/>
        </w:rPr>
        <w:t>120.819 million; (</w:t>
      </w:r>
      <w:r w:rsidRPr="00376B34">
        <w:rPr>
          <w:rFonts w:ascii="Arial" w:hAnsi="Arial" w:cs="Arial"/>
          <w:bCs/>
        </w:rPr>
        <w:t xml:space="preserve">b) </w:t>
      </w:r>
      <w:r w:rsidRPr="00376B34">
        <w:rPr>
          <w:rFonts w:ascii="Arial" w:hAnsi="Arial" w:cs="Arial"/>
        </w:rPr>
        <w:t xml:space="preserve">discrepancies of P170.458 million between accounting records of P165.331 million and property records of P335.789 million in NTA–CO and </w:t>
      </w:r>
      <w:proofErr w:type="spellStart"/>
      <w:r w:rsidRPr="00376B34">
        <w:rPr>
          <w:rFonts w:ascii="Arial" w:hAnsi="Arial" w:cs="Arial"/>
        </w:rPr>
        <w:t>Isabela</w:t>
      </w:r>
      <w:proofErr w:type="spellEnd"/>
      <w:r w:rsidRPr="00376B34">
        <w:rPr>
          <w:rFonts w:ascii="Arial" w:hAnsi="Arial" w:cs="Arial"/>
        </w:rPr>
        <w:t xml:space="preserve"> Branch; (</w:t>
      </w:r>
      <w:r w:rsidRPr="00376B34">
        <w:rPr>
          <w:rFonts w:ascii="Arial" w:hAnsi="Arial" w:cs="Arial"/>
          <w:bCs/>
          <w:iCs/>
        </w:rPr>
        <w:t>c</w:t>
      </w:r>
      <w:r w:rsidRPr="00376B34">
        <w:rPr>
          <w:rFonts w:ascii="Arial" w:hAnsi="Arial" w:cs="Arial"/>
        </w:rPr>
        <w:t>) non-provision of allowance for impairment loss on the idle property in NTA Cagayan Branch which is not in accordance with Philippine Public</w:t>
      </w:r>
      <w:r w:rsidR="00831699">
        <w:rPr>
          <w:rFonts w:ascii="Arial" w:hAnsi="Arial" w:cs="Arial"/>
        </w:rPr>
        <w:t xml:space="preserve"> </w:t>
      </w:r>
      <w:r w:rsidRPr="00376B34">
        <w:rPr>
          <w:rFonts w:ascii="Arial" w:hAnsi="Arial" w:cs="Arial"/>
        </w:rPr>
        <w:t xml:space="preserve">Sector Accounting Standards (PPSAS) 21; and (d) other deficiencies which affect the ownership of NTA over </w:t>
      </w:r>
      <w:r>
        <w:rPr>
          <w:rFonts w:ascii="Arial" w:hAnsi="Arial" w:cs="Arial"/>
        </w:rPr>
        <w:t>i</w:t>
      </w:r>
      <w:r w:rsidRPr="00376B34">
        <w:rPr>
          <w:rFonts w:ascii="Arial" w:hAnsi="Arial" w:cs="Arial"/>
        </w:rPr>
        <w:t>ts properties.</w:t>
      </w:r>
    </w:p>
    <w:p w:rsidR="00807DC1" w:rsidRPr="00807DC1" w:rsidRDefault="00807DC1" w:rsidP="00807DC1">
      <w:pPr>
        <w:pStyle w:val="ListParagraph"/>
        <w:ind w:left="0"/>
        <w:jc w:val="both"/>
        <w:rPr>
          <w:rFonts w:ascii="Arial" w:hAnsi="Arial" w:cs="Arial"/>
          <w:color w:val="000000" w:themeColor="text1"/>
        </w:rPr>
      </w:pPr>
    </w:p>
    <w:p w:rsidR="00807DC1" w:rsidRDefault="00807DC1" w:rsidP="007D6526">
      <w:pPr>
        <w:spacing w:after="0" w:line="240" w:lineRule="auto"/>
        <w:jc w:val="both"/>
        <w:rPr>
          <w:b/>
          <w:color w:val="auto"/>
        </w:rPr>
      </w:pPr>
    </w:p>
    <w:p w:rsidR="004F4EB2" w:rsidRPr="00427E2B" w:rsidRDefault="004F4EB2" w:rsidP="007D6526">
      <w:pPr>
        <w:spacing w:after="0" w:line="240" w:lineRule="auto"/>
        <w:jc w:val="both"/>
        <w:rPr>
          <w:b/>
          <w:color w:val="auto"/>
        </w:rPr>
      </w:pPr>
    </w:p>
    <w:p w:rsidR="00427E2B" w:rsidRPr="003E31E0" w:rsidRDefault="00427E2B" w:rsidP="007D6526">
      <w:pPr>
        <w:spacing w:after="0" w:line="240" w:lineRule="auto"/>
        <w:jc w:val="both"/>
        <w:rPr>
          <w:b/>
          <w:color w:val="auto"/>
        </w:rPr>
      </w:pPr>
      <w:r w:rsidRPr="003E31E0">
        <w:rPr>
          <w:b/>
          <w:color w:val="auto"/>
        </w:rPr>
        <w:lastRenderedPageBreak/>
        <w:t>SUMMARY OF SIGNIFICANT AUDIT OBSERVATIONS AND RECOMMENDATIONS</w:t>
      </w:r>
    </w:p>
    <w:p w:rsidR="00427E2B" w:rsidRDefault="00427E2B" w:rsidP="007D6526">
      <w:pPr>
        <w:spacing w:after="0" w:line="240" w:lineRule="auto"/>
        <w:jc w:val="both"/>
        <w:rPr>
          <w:color w:val="auto"/>
        </w:rPr>
      </w:pPr>
    </w:p>
    <w:p w:rsidR="0074308B" w:rsidRDefault="0074308B" w:rsidP="0074308B">
      <w:pPr>
        <w:spacing w:after="0" w:line="240" w:lineRule="auto"/>
        <w:jc w:val="both"/>
        <w:rPr>
          <w:rFonts w:eastAsia="Calibri"/>
          <w:color w:val="auto"/>
        </w:rPr>
      </w:pPr>
      <w:r w:rsidRPr="0074308B">
        <w:rPr>
          <w:rFonts w:eastAsia="Calibri"/>
          <w:color w:val="auto"/>
        </w:rPr>
        <w:t xml:space="preserve">For the above-mentioned observations which caused the issuance of a qualified opinion, we recommended that Management: </w:t>
      </w:r>
    </w:p>
    <w:p w:rsidR="0074308B" w:rsidRPr="0074308B" w:rsidRDefault="0074308B" w:rsidP="0074308B">
      <w:pPr>
        <w:spacing w:after="0" w:line="240" w:lineRule="auto"/>
        <w:jc w:val="both"/>
        <w:rPr>
          <w:rFonts w:eastAsia="Calibri"/>
          <w:color w:val="auto"/>
        </w:rPr>
      </w:pPr>
    </w:p>
    <w:p w:rsidR="004F4EB2" w:rsidRDefault="0074308B" w:rsidP="0074308B">
      <w:pPr>
        <w:numPr>
          <w:ilvl w:val="1"/>
          <w:numId w:val="12"/>
        </w:numPr>
        <w:spacing w:after="0" w:line="240" w:lineRule="auto"/>
        <w:ind w:left="0" w:firstLine="0"/>
        <w:contextualSpacing/>
        <w:jc w:val="both"/>
        <w:rPr>
          <w:color w:val="auto"/>
        </w:rPr>
      </w:pPr>
      <w:r>
        <w:rPr>
          <w:color w:val="auto"/>
        </w:rPr>
        <w:t>Instruct the:</w:t>
      </w:r>
    </w:p>
    <w:p w:rsidR="0074308B" w:rsidRDefault="0074308B" w:rsidP="0074308B">
      <w:pPr>
        <w:spacing w:after="0" w:line="240" w:lineRule="auto"/>
        <w:contextualSpacing/>
        <w:jc w:val="both"/>
        <w:rPr>
          <w:color w:val="auto"/>
        </w:rPr>
      </w:pPr>
    </w:p>
    <w:p w:rsidR="0074308B" w:rsidRDefault="0074308B" w:rsidP="0074308B">
      <w:pPr>
        <w:pStyle w:val="ListParagraph"/>
        <w:numPr>
          <w:ilvl w:val="0"/>
          <w:numId w:val="14"/>
        </w:numPr>
        <w:tabs>
          <w:tab w:val="left" w:pos="1260"/>
        </w:tabs>
        <w:spacing w:after="0"/>
        <w:ind w:firstLine="0"/>
        <w:jc w:val="both"/>
        <w:rPr>
          <w:rFonts w:ascii="Arial" w:hAnsi="Arial" w:cs="Arial"/>
        </w:rPr>
      </w:pPr>
      <w:r w:rsidRPr="0074308B">
        <w:rPr>
          <w:rFonts w:ascii="Arial" w:hAnsi="Arial" w:cs="Arial"/>
        </w:rPr>
        <w:t>Central/Regional Offices’ Accountants to: (</w:t>
      </w:r>
      <w:proofErr w:type="spellStart"/>
      <w:r w:rsidR="00A76821">
        <w:rPr>
          <w:rFonts w:ascii="Arial" w:hAnsi="Arial" w:cs="Arial"/>
        </w:rPr>
        <w:t>i</w:t>
      </w:r>
      <w:proofErr w:type="spellEnd"/>
      <w:r w:rsidRPr="0074308B">
        <w:rPr>
          <w:rFonts w:ascii="Arial" w:hAnsi="Arial" w:cs="Arial"/>
        </w:rPr>
        <w:t xml:space="preserve">) complete the documentation of dormant accounts aged 10 to 29 years in accordance with COA Circular </w:t>
      </w:r>
      <w:r w:rsidR="00A76821">
        <w:rPr>
          <w:rFonts w:ascii="Arial" w:hAnsi="Arial" w:cs="Arial"/>
        </w:rPr>
        <w:t xml:space="preserve">          </w:t>
      </w:r>
      <w:r w:rsidRPr="0074308B">
        <w:rPr>
          <w:rFonts w:ascii="Arial" w:hAnsi="Arial" w:cs="Arial"/>
        </w:rPr>
        <w:t>No. 2016-05 dated December 19, 2016 to support the request for authority to write off from COA; (</w:t>
      </w:r>
      <w:r w:rsidR="00A76821">
        <w:rPr>
          <w:rFonts w:ascii="Arial" w:hAnsi="Arial" w:cs="Arial"/>
        </w:rPr>
        <w:t>ii</w:t>
      </w:r>
      <w:r w:rsidRPr="0074308B">
        <w:rPr>
          <w:rFonts w:ascii="Arial" w:hAnsi="Arial" w:cs="Arial"/>
        </w:rPr>
        <w:t xml:space="preserve">) exert utmost  efforts to retrieve/recover any documents and verify the </w:t>
      </w:r>
      <w:proofErr w:type="spellStart"/>
      <w:r w:rsidRPr="0074308B">
        <w:rPr>
          <w:rFonts w:ascii="Arial" w:hAnsi="Arial" w:cs="Arial"/>
        </w:rPr>
        <w:t>undeposited</w:t>
      </w:r>
      <w:proofErr w:type="spellEnd"/>
      <w:r w:rsidRPr="0074308B">
        <w:rPr>
          <w:rFonts w:ascii="Arial" w:hAnsi="Arial" w:cs="Arial"/>
        </w:rPr>
        <w:t xml:space="preserve"> collection and </w:t>
      </w:r>
      <w:proofErr w:type="spellStart"/>
      <w:r w:rsidRPr="0074308B">
        <w:rPr>
          <w:rFonts w:ascii="Arial" w:hAnsi="Arial" w:cs="Arial"/>
        </w:rPr>
        <w:t>unliquidated</w:t>
      </w:r>
      <w:proofErr w:type="spellEnd"/>
      <w:r w:rsidRPr="0074308B">
        <w:rPr>
          <w:rFonts w:ascii="Arial" w:hAnsi="Arial" w:cs="Arial"/>
        </w:rPr>
        <w:t xml:space="preserve"> </w:t>
      </w:r>
      <w:r w:rsidR="00A76821">
        <w:rPr>
          <w:rFonts w:ascii="Arial" w:hAnsi="Arial" w:cs="Arial"/>
        </w:rPr>
        <w:t>c</w:t>
      </w:r>
      <w:r w:rsidRPr="0074308B">
        <w:rPr>
          <w:rFonts w:ascii="Arial" w:hAnsi="Arial" w:cs="Arial"/>
        </w:rPr>
        <w:t xml:space="preserve">ash </w:t>
      </w:r>
      <w:r w:rsidR="00A76821">
        <w:rPr>
          <w:rFonts w:ascii="Arial" w:hAnsi="Arial" w:cs="Arial"/>
        </w:rPr>
        <w:t>a</w:t>
      </w:r>
      <w:r w:rsidRPr="0074308B">
        <w:rPr>
          <w:rFonts w:ascii="Arial" w:hAnsi="Arial" w:cs="Arial"/>
        </w:rPr>
        <w:t>dvances of the former Cash Collecting and Disbursing Officers, respectively of the four defunct tobacco agencies; (</w:t>
      </w:r>
      <w:r w:rsidR="00A76821">
        <w:rPr>
          <w:rFonts w:ascii="Arial" w:hAnsi="Arial" w:cs="Arial"/>
        </w:rPr>
        <w:t>iii</w:t>
      </w:r>
      <w:r w:rsidRPr="0074308B">
        <w:rPr>
          <w:rFonts w:ascii="Arial" w:hAnsi="Arial" w:cs="Arial"/>
        </w:rPr>
        <w:t xml:space="preserve">) enforce immediate settlement of </w:t>
      </w:r>
      <w:proofErr w:type="spellStart"/>
      <w:r w:rsidRPr="0074308B">
        <w:rPr>
          <w:rFonts w:ascii="Arial" w:hAnsi="Arial" w:cs="Arial"/>
        </w:rPr>
        <w:t>unliquidated</w:t>
      </w:r>
      <w:proofErr w:type="spellEnd"/>
      <w:r w:rsidRPr="0074308B">
        <w:rPr>
          <w:rFonts w:ascii="Arial" w:hAnsi="Arial" w:cs="Arial"/>
        </w:rPr>
        <w:t xml:space="preserve"> cash advances and receivables from officers and employees by filing collection cases</w:t>
      </w:r>
      <w:r w:rsidR="00831699">
        <w:rPr>
          <w:rFonts w:ascii="Arial" w:hAnsi="Arial" w:cs="Arial"/>
        </w:rPr>
        <w:t>,</w:t>
      </w:r>
      <w:r w:rsidRPr="0074308B">
        <w:rPr>
          <w:rFonts w:ascii="Arial" w:hAnsi="Arial" w:cs="Arial"/>
        </w:rPr>
        <w:t xml:space="preserve"> if claims remained uncollected even after sending demand letters; and </w:t>
      </w:r>
      <w:r w:rsidR="00A76821">
        <w:rPr>
          <w:rFonts w:ascii="Arial" w:hAnsi="Arial" w:cs="Arial"/>
        </w:rPr>
        <w:t xml:space="preserve">              </w:t>
      </w:r>
      <w:r w:rsidRPr="0074308B">
        <w:rPr>
          <w:rFonts w:ascii="Arial" w:hAnsi="Arial" w:cs="Arial"/>
        </w:rPr>
        <w:t>(</w:t>
      </w:r>
      <w:r w:rsidR="00A76821">
        <w:rPr>
          <w:rFonts w:ascii="Arial" w:hAnsi="Arial" w:cs="Arial"/>
        </w:rPr>
        <w:t>iv</w:t>
      </w:r>
      <w:r w:rsidRPr="0074308B">
        <w:rPr>
          <w:rFonts w:ascii="Arial" w:hAnsi="Arial" w:cs="Arial"/>
        </w:rPr>
        <w:t>) analyze the Other Current Assets accounts and prepare the necessary adjustments in the books</w:t>
      </w:r>
      <w:r w:rsidR="00A76821">
        <w:rPr>
          <w:rFonts w:ascii="Arial" w:hAnsi="Arial" w:cs="Arial"/>
        </w:rPr>
        <w:t>.</w:t>
      </w:r>
    </w:p>
    <w:p w:rsidR="00A76821" w:rsidRPr="0074308B" w:rsidRDefault="00A76821" w:rsidP="00A76821">
      <w:pPr>
        <w:pStyle w:val="ListParagraph"/>
        <w:tabs>
          <w:tab w:val="left" w:pos="1260"/>
        </w:tabs>
        <w:spacing w:after="0"/>
        <w:jc w:val="both"/>
        <w:rPr>
          <w:rFonts w:ascii="Arial" w:hAnsi="Arial" w:cs="Arial"/>
        </w:rPr>
      </w:pPr>
    </w:p>
    <w:p w:rsidR="0074308B" w:rsidRDefault="00807DC1" w:rsidP="00A76821">
      <w:pPr>
        <w:pStyle w:val="ListParagraph"/>
        <w:numPr>
          <w:ilvl w:val="0"/>
          <w:numId w:val="14"/>
        </w:numPr>
        <w:tabs>
          <w:tab w:val="left" w:pos="1260"/>
        </w:tabs>
        <w:spacing w:after="0"/>
        <w:ind w:firstLine="0"/>
        <w:jc w:val="both"/>
        <w:rPr>
          <w:rFonts w:ascii="Arial" w:hAnsi="Arial" w:cs="Arial"/>
        </w:rPr>
      </w:pPr>
      <w:r w:rsidRPr="0074308B">
        <w:t xml:space="preserve">  </w:t>
      </w:r>
      <w:r w:rsidRPr="00A76821">
        <w:rPr>
          <w:rFonts w:ascii="Arial" w:hAnsi="Arial" w:cs="Arial"/>
        </w:rPr>
        <w:t>Legal Officer to:</w:t>
      </w:r>
      <w:r w:rsidR="0074308B" w:rsidRPr="00A76821">
        <w:rPr>
          <w:rFonts w:ascii="Arial" w:hAnsi="Arial" w:cs="Arial"/>
        </w:rPr>
        <w:t xml:space="preserve"> (</w:t>
      </w:r>
      <w:proofErr w:type="spellStart"/>
      <w:r w:rsidR="00A76821">
        <w:rPr>
          <w:rFonts w:ascii="Arial" w:hAnsi="Arial" w:cs="Arial"/>
        </w:rPr>
        <w:t>i</w:t>
      </w:r>
      <w:proofErr w:type="spellEnd"/>
      <w:r w:rsidR="0074308B" w:rsidRPr="00A76821">
        <w:rPr>
          <w:rFonts w:ascii="Arial" w:hAnsi="Arial" w:cs="Arial"/>
        </w:rPr>
        <w:t>) determine the probability of redemption of the bonds amounting to P28.634 million included in Other Non-current Assets account, and if the recovery is already nil, complete the documents for write-off of the account for filing with the COA; (</w:t>
      </w:r>
      <w:r w:rsidR="00A76821">
        <w:rPr>
          <w:rFonts w:ascii="Arial" w:hAnsi="Arial" w:cs="Arial"/>
        </w:rPr>
        <w:t>ii</w:t>
      </w:r>
      <w:r w:rsidR="0074308B" w:rsidRPr="00A76821">
        <w:rPr>
          <w:rFonts w:ascii="Arial" w:hAnsi="Arial" w:cs="Arial"/>
        </w:rPr>
        <w:t xml:space="preserve">) exert all legal remedies for the rescission of the Certificates of Award and for the </w:t>
      </w:r>
      <w:proofErr w:type="spellStart"/>
      <w:r w:rsidR="0074308B" w:rsidRPr="00A76821">
        <w:rPr>
          <w:rFonts w:ascii="Arial" w:hAnsi="Arial" w:cs="Arial"/>
        </w:rPr>
        <w:t>reconveyance</w:t>
      </w:r>
      <w:proofErr w:type="spellEnd"/>
      <w:r w:rsidR="0074308B" w:rsidRPr="00A76821">
        <w:rPr>
          <w:rFonts w:ascii="Arial" w:hAnsi="Arial" w:cs="Arial"/>
        </w:rPr>
        <w:t xml:space="preserve"> of the pertinent lots located in </w:t>
      </w:r>
      <w:proofErr w:type="spellStart"/>
      <w:r w:rsidR="0074308B" w:rsidRPr="00A76821">
        <w:rPr>
          <w:rFonts w:ascii="Arial" w:hAnsi="Arial" w:cs="Arial"/>
        </w:rPr>
        <w:t>Tuguegarao</w:t>
      </w:r>
      <w:proofErr w:type="spellEnd"/>
      <w:r w:rsidR="0074308B" w:rsidRPr="00A76821">
        <w:rPr>
          <w:rFonts w:ascii="Arial" w:hAnsi="Arial" w:cs="Arial"/>
        </w:rPr>
        <w:t xml:space="preserve">, Cagayan to the government pursuant to Resolution No. 258-2012 dated April 12, 2012 of the NTA Governing Board, if the awardees and/or the occupants/possessors/successors of the  24 unpaid lots included in Other Receivables of P3.923 million do not agree to settle in full the cost </w:t>
      </w:r>
      <w:r w:rsidR="00A76821">
        <w:rPr>
          <w:rFonts w:ascii="Arial" w:hAnsi="Arial" w:cs="Arial"/>
        </w:rPr>
        <w:t xml:space="preserve">                       </w:t>
      </w:r>
      <w:r w:rsidR="0074308B" w:rsidRPr="00A76821">
        <w:rPr>
          <w:rFonts w:ascii="Arial" w:hAnsi="Arial" w:cs="Arial"/>
        </w:rPr>
        <w:t>with increments</w:t>
      </w:r>
      <w:r w:rsidR="00A76821">
        <w:rPr>
          <w:rFonts w:ascii="Arial" w:hAnsi="Arial" w:cs="Arial"/>
        </w:rPr>
        <w:t>.</w:t>
      </w:r>
    </w:p>
    <w:p w:rsidR="00A76821" w:rsidRPr="00A76821" w:rsidRDefault="00A76821" w:rsidP="00A76821">
      <w:pPr>
        <w:pStyle w:val="ListParagraph"/>
        <w:tabs>
          <w:tab w:val="left" w:pos="1260"/>
        </w:tabs>
        <w:spacing w:after="0"/>
        <w:jc w:val="both"/>
        <w:rPr>
          <w:rFonts w:ascii="Arial" w:hAnsi="Arial" w:cs="Arial"/>
        </w:rPr>
      </w:pPr>
    </w:p>
    <w:p w:rsidR="00807DC1" w:rsidRPr="00A76821" w:rsidRDefault="006A62D5" w:rsidP="00376B34">
      <w:pPr>
        <w:pStyle w:val="ListParagraph"/>
        <w:numPr>
          <w:ilvl w:val="0"/>
          <w:numId w:val="14"/>
        </w:numPr>
        <w:tabs>
          <w:tab w:val="left" w:pos="1260"/>
        </w:tabs>
        <w:spacing w:after="0"/>
        <w:ind w:firstLine="0"/>
        <w:jc w:val="both"/>
      </w:pPr>
      <w:r>
        <w:rPr>
          <w:rFonts w:ascii="Arial" w:hAnsi="Arial" w:cs="Arial"/>
        </w:rPr>
        <w:t>C</w:t>
      </w:r>
      <w:r w:rsidR="00807DC1" w:rsidRPr="00A76821">
        <w:rPr>
          <w:rFonts w:ascii="Arial" w:hAnsi="Arial" w:cs="Arial"/>
        </w:rPr>
        <w:t xml:space="preserve">oncerned Branch Managers to make representations with the </w:t>
      </w:r>
      <w:r w:rsidR="00A76821">
        <w:rPr>
          <w:rFonts w:ascii="Arial" w:hAnsi="Arial" w:cs="Arial"/>
        </w:rPr>
        <w:t>Department of Environment and Natural Resources (</w:t>
      </w:r>
      <w:r w:rsidR="00807DC1" w:rsidRPr="00A76821">
        <w:rPr>
          <w:rFonts w:ascii="Arial" w:hAnsi="Arial" w:cs="Arial"/>
        </w:rPr>
        <w:t>DENR</w:t>
      </w:r>
      <w:r w:rsidR="00A76821">
        <w:rPr>
          <w:rFonts w:ascii="Arial" w:hAnsi="Arial" w:cs="Arial"/>
        </w:rPr>
        <w:t>)</w:t>
      </w:r>
      <w:r w:rsidR="00807DC1" w:rsidRPr="00A76821">
        <w:rPr>
          <w:rFonts w:ascii="Arial" w:hAnsi="Arial" w:cs="Arial"/>
        </w:rPr>
        <w:t xml:space="preserve"> for the possible transfer of the reforestation project sites included in Other Current Assets account to the local government units so as to preserve the area.</w:t>
      </w:r>
    </w:p>
    <w:p w:rsidR="00807DC1" w:rsidRPr="0074308B" w:rsidRDefault="0074308B" w:rsidP="00376B34">
      <w:pPr>
        <w:numPr>
          <w:ilvl w:val="1"/>
          <w:numId w:val="12"/>
        </w:numPr>
        <w:spacing w:after="0" w:line="240" w:lineRule="auto"/>
        <w:ind w:left="0" w:firstLine="0"/>
        <w:contextualSpacing/>
        <w:jc w:val="both"/>
        <w:rPr>
          <w:color w:val="auto"/>
        </w:rPr>
      </w:pPr>
      <w:r>
        <w:rPr>
          <w:color w:val="auto"/>
        </w:rPr>
        <w:t>P</w:t>
      </w:r>
      <w:r w:rsidR="00807DC1" w:rsidRPr="0074308B">
        <w:rPr>
          <w:color w:val="auto"/>
        </w:rPr>
        <w:t>rovide impairment loss on dormant assets pursuant to P</w:t>
      </w:r>
      <w:r>
        <w:rPr>
          <w:color w:val="auto"/>
        </w:rPr>
        <w:t xml:space="preserve">hilippine </w:t>
      </w:r>
      <w:r w:rsidR="00807DC1" w:rsidRPr="0074308B">
        <w:rPr>
          <w:color w:val="auto"/>
        </w:rPr>
        <w:t>A</w:t>
      </w:r>
      <w:r>
        <w:rPr>
          <w:color w:val="auto"/>
        </w:rPr>
        <w:t xml:space="preserve">ccounting </w:t>
      </w:r>
      <w:r w:rsidR="00807DC1" w:rsidRPr="0074308B">
        <w:rPr>
          <w:color w:val="auto"/>
        </w:rPr>
        <w:t>S</w:t>
      </w:r>
      <w:r>
        <w:rPr>
          <w:color w:val="auto"/>
        </w:rPr>
        <w:t>tandard</w:t>
      </w:r>
      <w:r w:rsidR="00807DC1" w:rsidRPr="0074308B">
        <w:rPr>
          <w:color w:val="auto"/>
        </w:rPr>
        <w:t xml:space="preserve"> </w:t>
      </w:r>
      <w:r w:rsidR="00831699">
        <w:rPr>
          <w:color w:val="auto"/>
        </w:rPr>
        <w:t xml:space="preserve">(PAS) </w:t>
      </w:r>
      <w:r w:rsidR="00807DC1" w:rsidRPr="0074308B">
        <w:rPr>
          <w:color w:val="auto"/>
        </w:rPr>
        <w:t>No. 36.</w:t>
      </w:r>
    </w:p>
    <w:p w:rsidR="00831699" w:rsidRDefault="00831699" w:rsidP="00831699">
      <w:pPr>
        <w:tabs>
          <w:tab w:val="left" w:pos="1260"/>
        </w:tabs>
        <w:spacing w:after="0" w:line="240" w:lineRule="auto"/>
        <w:ind w:left="709"/>
        <w:contextualSpacing/>
        <w:jc w:val="both"/>
        <w:rPr>
          <w:color w:val="auto"/>
        </w:rPr>
      </w:pPr>
    </w:p>
    <w:p w:rsidR="00831699" w:rsidRPr="00831699" w:rsidRDefault="00831699" w:rsidP="00861B05">
      <w:pPr>
        <w:pStyle w:val="ListParagraph"/>
        <w:numPr>
          <w:ilvl w:val="1"/>
          <w:numId w:val="11"/>
        </w:numPr>
        <w:tabs>
          <w:tab w:val="left" w:pos="720"/>
          <w:tab w:val="left" w:pos="1260"/>
        </w:tabs>
        <w:spacing w:after="0" w:afterAutospacing="0"/>
        <w:ind w:left="0" w:firstLine="0"/>
        <w:jc w:val="both"/>
        <w:rPr>
          <w:rFonts w:ascii="Arial" w:hAnsi="Arial" w:cs="Arial"/>
        </w:rPr>
      </w:pPr>
      <w:r w:rsidRPr="00831699">
        <w:rPr>
          <w:rFonts w:ascii="Arial" w:hAnsi="Arial" w:cs="Arial"/>
        </w:rPr>
        <w:t xml:space="preserve">Require the Inventory Committee to complete the conduct of physical inventory of immovable assets in NTA-CO books including the properties located in </w:t>
      </w:r>
      <w:r w:rsidR="00861B05">
        <w:rPr>
          <w:rFonts w:ascii="Arial" w:hAnsi="Arial" w:cs="Arial"/>
        </w:rPr>
        <w:t>Cordillera Administrative Region (</w:t>
      </w:r>
      <w:r w:rsidRPr="00831699">
        <w:rPr>
          <w:rFonts w:ascii="Arial" w:hAnsi="Arial" w:cs="Arial"/>
        </w:rPr>
        <w:t>CAR</w:t>
      </w:r>
      <w:r w:rsidR="00861B05">
        <w:rPr>
          <w:rFonts w:ascii="Arial" w:hAnsi="Arial" w:cs="Arial"/>
        </w:rPr>
        <w:t>)</w:t>
      </w:r>
      <w:r w:rsidRPr="00831699">
        <w:rPr>
          <w:rFonts w:ascii="Arial" w:hAnsi="Arial" w:cs="Arial"/>
        </w:rPr>
        <w:t xml:space="preserve">, Regions I and II to check their existence and </w:t>
      </w:r>
      <w:r w:rsidRPr="00831699">
        <w:rPr>
          <w:rFonts w:ascii="Arial" w:hAnsi="Arial" w:cs="Arial"/>
          <w:color w:val="000000" w:themeColor="text1"/>
        </w:rPr>
        <w:t xml:space="preserve">conditions and, to prepare the </w:t>
      </w:r>
      <w:r>
        <w:rPr>
          <w:rFonts w:ascii="Arial" w:hAnsi="Arial" w:cs="Arial"/>
          <w:color w:val="000000" w:themeColor="text1"/>
        </w:rPr>
        <w:t>Report on the Physical Count of Property, Plant and Equipment (</w:t>
      </w:r>
      <w:r w:rsidRPr="00831699">
        <w:rPr>
          <w:rFonts w:ascii="Arial" w:hAnsi="Arial" w:cs="Arial"/>
          <w:color w:val="000000" w:themeColor="text1"/>
        </w:rPr>
        <w:t>RPCPPE</w:t>
      </w:r>
      <w:r>
        <w:rPr>
          <w:rFonts w:ascii="Arial" w:hAnsi="Arial" w:cs="Arial"/>
          <w:color w:val="000000" w:themeColor="text1"/>
        </w:rPr>
        <w:t>)</w:t>
      </w:r>
      <w:r w:rsidRPr="00831699">
        <w:rPr>
          <w:rFonts w:ascii="Arial" w:hAnsi="Arial" w:cs="Arial"/>
          <w:color w:val="000000" w:themeColor="text1"/>
        </w:rPr>
        <w:t xml:space="preserve"> for reconciliation with the accounting and property records and to identify the missing and unrecorded properties </w:t>
      </w:r>
      <w:r w:rsidRPr="00831699">
        <w:rPr>
          <w:rFonts w:ascii="Arial" w:hAnsi="Arial" w:cs="Arial"/>
        </w:rPr>
        <w:t xml:space="preserve">in the </w:t>
      </w:r>
      <w:r w:rsidR="00861B05">
        <w:rPr>
          <w:rFonts w:ascii="Arial" w:hAnsi="Arial" w:cs="Arial"/>
        </w:rPr>
        <w:t>books.</w:t>
      </w:r>
    </w:p>
    <w:p w:rsidR="00831699" w:rsidRPr="00831699" w:rsidRDefault="00831699" w:rsidP="00861B05">
      <w:pPr>
        <w:spacing w:after="0" w:line="240" w:lineRule="auto"/>
        <w:ind w:left="709"/>
        <w:contextualSpacing/>
        <w:jc w:val="both"/>
      </w:pPr>
    </w:p>
    <w:p w:rsidR="00831699" w:rsidRPr="00831699" w:rsidRDefault="00831699" w:rsidP="00861B05">
      <w:pPr>
        <w:numPr>
          <w:ilvl w:val="1"/>
          <w:numId w:val="11"/>
        </w:numPr>
        <w:tabs>
          <w:tab w:val="left" w:pos="720"/>
          <w:tab w:val="left" w:pos="1260"/>
        </w:tabs>
        <w:spacing w:after="0" w:line="240" w:lineRule="auto"/>
        <w:ind w:left="0" w:firstLine="0"/>
        <w:contextualSpacing/>
        <w:jc w:val="both"/>
        <w:rPr>
          <w:color w:val="auto"/>
        </w:rPr>
      </w:pPr>
      <w:r w:rsidRPr="00831699">
        <w:rPr>
          <w:color w:val="auto"/>
        </w:rPr>
        <w:t xml:space="preserve">Conduct periodic reconciliation of the records between accounting and property records of CO and </w:t>
      </w:r>
      <w:proofErr w:type="spellStart"/>
      <w:r w:rsidRPr="00831699">
        <w:rPr>
          <w:color w:val="auto"/>
        </w:rPr>
        <w:t>Isabela</w:t>
      </w:r>
      <w:proofErr w:type="spellEnd"/>
      <w:r w:rsidRPr="00831699">
        <w:rPr>
          <w:color w:val="auto"/>
        </w:rPr>
        <w:t xml:space="preserve"> Branch after physical inventory taking and effect the necessary adjustments in the books, if any</w:t>
      </w:r>
      <w:r w:rsidR="00861B05">
        <w:rPr>
          <w:color w:val="auto"/>
        </w:rPr>
        <w:t>.</w:t>
      </w:r>
      <w:r w:rsidRPr="00831699">
        <w:rPr>
          <w:color w:val="auto"/>
        </w:rPr>
        <w:t xml:space="preserve"> </w:t>
      </w:r>
    </w:p>
    <w:p w:rsidR="00831699" w:rsidRPr="00831699" w:rsidRDefault="00831699" w:rsidP="00861B05">
      <w:pPr>
        <w:tabs>
          <w:tab w:val="left" w:pos="720"/>
        </w:tabs>
        <w:spacing w:after="0" w:line="240" w:lineRule="auto"/>
        <w:contextualSpacing/>
        <w:jc w:val="both"/>
        <w:rPr>
          <w:color w:val="auto"/>
        </w:rPr>
      </w:pPr>
    </w:p>
    <w:p w:rsidR="00831699" w:rsidRPr="00831699" w:rsidRDefault="00831699" w:rsidP="00831699">
      <w:pPr>
        <w:numPr>
          <w:ilvl w:val="1"/>
          <w:numId w:val="11"/>
        </w:numPr>
        <w:tabs>
          <w:tab w:val="left" w:pos="720"/>
          <w:tab w:val="left" w:pos="1260"/>
        </w:tabs>
        <w:spacing w:after="0" w:line="240" w:lineRule="auto"/>
        <w:ind w:left="0" w:firstLine="0"/>
        <w:contextualSpacing/>
        <w:jc w:val="both"/>
        <w:rPr>
          <w:color w:val="auto"/>
        </w:rPr>
      </w:pPr>
      <w:r w:rsidRPr="00831699">
        <w:rPr>
          <w:color w:val="auto"/>
        </w:rPr>
        <w:t>Conduct impairment testing of the idle property in NTA Cagayan Branch to determine the amount of allowance to be provided</w:t>
      </w:r>
      <w:r w:rsidR="00861B05">
        <w:rPr>
          <w:color w:val="auto"/>
          <w:lang w:eastAsia="en-PH"/>
        </w:rPr>
        <w:t>.</w:t>
      </w:r>
      <w:r w:rsidRPr="00831699">
        <w:rPr>
          <w:color w:val="auto"/>
          <w:lang w:eastAsia="en-PH"/>
        </w:rPr>
        <w:t xml:space="preserve"> </w:t>
      </w:r>
    </w:p>
    <w:p w:rsidR="00831699" w:rsidRPr="00831699" w:rsidRDefault="00831699" w:rsidP="00831699">
      <w:pPr>
        <w:numPr>
          <w:ilvl w:val="1"/>
          <w:numId w:val="11"/>
        </w:numPr>
        <w:tabs>
          <w:tab w:val="left" w:pos="720"/>
          <w:tab w:val="left" w:pos="1260"/>
        </w:tabs>
        <w:spacing w:after="0" w:line="240" w:lineRule="auto"/>
        <w:ind w:left="0" w:firstLine="0"/>
        <w:contextualSpacing/>
        <w:jc w:val="both"/>
        <w:rPr>
          <w:color w:val="auto"/>
        </w:rPr>
      </w:pPr>
      <w:r w:rsidRPr="00831699">
        <w:rPr>
          <w:color w:val="auto"/>
        </w:rPr>
        <w:lastRenderedPageBreak/>
        <w:t xml:space="preserve">Undertake necessary actions/measures for the removal of the informal settlers in all NTA properties to be used for warehousing purposes as provided under Proclamation No. 454 dated September 19, 1939 by </w:t>
      </w:r>
      <w:r w:rsidR="00861B05">
        <w:rPr>
          <w:color w:val="auto"/>
        </w:rPr>
        <w:t>then President Manuel L. Quezon.</w:t>
      </w:r>
    </w:p>
    <w:p w:rsidR="00831699" w:rsidRPr="00831699" w:rsidRDefault="00831699" w:rsidP="00831699">
      <w:pPr>
        <w:tabs>
          <w:tab w:val="left" w:pos="720"/>
        </w:tabs>
        <w:spacing w:after="0" w:line="240" w:lineRule="auto"/>
        <w:rPr>
          <w:color w:val="auto"/>
        </w:rPr>
      </w:pPr>
    </w:p>
    <w:p w:rsidR="00831699" w:rsidRPr="00831699" w:rsidRDefault="00831699" w:rsidP="00831699">
      <w:pPr>
        <w:numPr>
          <w:ilvl w:val="1"/>
          <w:numId w:val="11"/>
        </w:numPr>
        <w:tabs>
          <w:tab w:val="left" w:pos="720"/>
          <w:tab w:val="left" w:pos="1260"/>
        </w:tabs>
        <w:spacing w:after="0" w:line="240" w:lineRule="auto"/>
        <w:ind w:left="0" w:firstLine="0"/>
        <w:contextualSpacing/>
        <w:jc w:val="both"/>
        <w:rPr>
          <w:color w:val="auto"/>
        </w:rPr>
      </w:pPr>
      <w:r w:rsidRPr="00831699">
        <w:rPr>
          <w:color w:val="auto"/>
        </w:rPr>
        <w:t xml:space="preserve">Exhaust all remedies for the recovery of parcels of land in </w:t>
      </w:r>
      <w:proofErr w:type="spellStart"/>
      <w:r w:rsidRPr="00831699">
        <w:rPr>
          <w:color w:val="auto"/>
        </w:rPr>
        <w:t>Isabela</w:t>
      </w:r>
      <w:proofErr w:type="spellEnd"/>
      <w:r w:rsidRPr="00831699">
        <w:rPr>
          <w:color w:val="auto"/>
        </w:rPr>
        <w:t xml:space="preserve"> </w:t>
      </w:r>
      <w:r w:rsidRPr="00831699">
        <w:rPr>
          <w:color w:val="auto"/>
          <w:lang w:eastAsia="en-PH"/>
        </w:rPr>
        <w:t xml:space="preserve">subject of </w:t>
      </w:r>
      <w:r>
        <w:rPr>
          <w:color w:val="auto"/>
          <w:lang w:eastAsia="en-PH"/>
        </w:rPr>
        <w:t>Emancipation Patents (</w:t>
      </w:r>
      <w:r w:rsidRPr="00831699">
        <w:rPr>
          <w:color w:val="auto"/>
          <w:lang w:eastAsia="en-PH"/>
        </w:rPr>
        <w:t>EPs</w:t>
      </w:r>
      <w:r>
        <w:rPr>
          <w:color w:val="auto"/>
          <w:lang w:eastAsia="en-PH"/>
        </w:rPr>
        <w:t>)</w:t>
      </w:r>
      <w:r w:rsidRPr="00831699">
        <w:rPr>
          <w:color w:val="auto"/>
          <w:lang w:eastAsia="en-PH"/>
        </w:rPr>
        <w:t xml:space="preserve"> in favor of </w:t>
      </w:r>
      <w:r>
        <w:rPr>
          <w:color w:val="auto"/>
          <w:lang w:eastAsia="en-PH"/>
        </w:rPr>
        <w:t>Department of Agrarian Reform (</w:t>
      </w:r>
      <w:r w:rsidRPr="00831699">
        <w:rPr>
          <w:color w:val="auto"/>
          <w:lang w:eastAsia="en-PH"/>
        </w:rPr>
        <w:t>DAR</w:t>
      </w:r>
      <w:r>
        <w:rPr>
          <w:color w:val="auto"/>
          <w:lang w:eastAsia="en-PH"/>
        </w:rPr>
        <w:t>)</w:t>
      </w:r>
      <w:r w:rsidRPr="00831699">
        <w:rPr>
          <w:color w:val="auto"/>
          <w:lang w:eastAsia="en-PH"/>
        </w:rPr>
        <w:t xml:space="preserve"> beneficiaries</w:t>
      </w:r>
      <w:r w:rsidRPr="00831699">
        <w:rPr>
          <w:color w:val="auto"/>
        </w:rPr>
        <w:t xml:space="preserve"> and, follow up reply of DAR on </w:t>
      </w:r>
      <w:r w:rsidRPr="00831699">
        <w:rPr>
          <w:color w:val="auto"/>
          <w:lang w:eastAsia="en-PH"/>
        </w:rPr>
        <w:t>letter-complaint filed by the NTA for the consequent cancellation of the EPs</w:t>
      </w:r>
      <w:r w:rsidR="00861B05">
        <w:rPr>
          <w:color w:val="auto"/>
          <w:lang w:eastAsia="en-PH"/>
        </w:rPr>
        <w:t>.</w:t>
      </w:r>
    </w:p>
    <w:p w:rsidR="00831699" w:rsidRPr="00831699" w:rsidRDefault="00831699" w:rsidP="00831699">
      <w:pPr>
        <w:tabs>
          <w:tab w:val="left" w:pos="720"/>
        </w:tabs>
        <w:spacing w:after="0" w:line="240" w:lineRule="auto"/>
        <w:contextualSpacing/>
        <w:jc w:val="both"/>
        <w:rPr>
          <w:color w:val="auto"/>
        </w:rPr>
      </w:pPr>
    </w:p>
    <w:p w:rsidR="00831699" w:rsidRPr="00831699" w:rsidRDefault="00831699" w:rsidP="00831699">
      <w:pPr>
        <w:numPr>
          <w:ilvl w:val="1"/>
          <w:numId w:val="11"/>
        </w:numPr>
        <w:tabs>
          <w:tab w:val="left" w:pos="720"/>
          <w:tab w:val="left" w:pos="1260"/>
        </w:tabs>
        <w:spacing w:after="0" w:line="240" w:lineRule="auto"/>
        <w:ind w:left="0" w:firstLine="0"/>
        <w:contextualSpacing/>
        <w:jc w:val="both"/>
        <w:rPr>
          <w:color w:val="auto"/>
        </w:rPr>
      </w:pPr>
      <w:r w:rsidRPr="00831699">
        <w:rPr>
          <w:color w:val="auto"/>
        </w:rPr>
        <w:t xml:space="preserve">Require the person </w:t>
      </w:r>
      <w:proofErr w:type="gramStart"/>
      <w:r w:rsidRPr="00831699">
        <w:rPr>
          <w:color w:val="auto"/>
        </w:rPr>
        <w:t>responsible  in</w:t>
      </w:r>
      <w:proofErr w:type="gramEnd"/>
      <w:r w:rsidRPr="00831699">
        <w:rPr>
          <w:color w:val="auto"/>
        </w:rPr>
        <w:t xml:space="preserve"> the CO to provide NTA </w:t>
      </w:r>
      <w:proofErr w:type="spellStart"/>
      <w:r w:rsidRPr="00831699">
        <w:rPr>
          <w:color w:val="auto"/>
        </w:rPr>
        <w:t>Batac</w:t>
      </w:r>
      <w:proofErr w:type="spellEnd"/>
      <w:r w:rsidRPr="00831699">
        <w:rPr>
          <w:color w:val="auto"/>
        </w:rPr>
        <w:t xml:space="preserve"> Branch copy of the Deed of Donation of the two buildings donated to </w:t>
      </w:r>
      <w:proofErr w:type="spellStart"/>
      <w:r w:rsidR="00861B05">
        <w:rPr>
          <w:color w:val="auto"/>
        </w:rPr>
        <w:t>Isabela</w:t>
      </w:r>
      <w:proofErr w:type="spellEnd"/>
      <w:r w:rsidR="00861B05">
        <w:rPr>
          <w:color w:val="auto"/>
        </w:rPr>
        <w:t xml:space="preserve"> State University (</w:t>
      </w:r>
      <w:r w:rsidRPr="00831699">
        <w:rPr>
          <w:color w:val="auto"/>
        </w:rPr>
        <w:t>ISU</w:t>
      </w:r>
      <w:r w:rsidR="00861B05">
        <w:rPr>
          <w:color w:val="auto"/>
        </w:rPr>
        <w:t>)</w:t>
      </w:r>
      <w:r w:rsidRPr="00831699">
        <w:rPr>
          <w:color w:val="auto"/>
        </w:rPr>
        <w:t xml:space="preserve"> in order for the Branch Accountant to drop these properties from the books</w:t>
      </w:r>
      <w:r w:rsidR="00861B05">
        <w:rPr>
          <w:color w:val="auto"/>
        </w:rPr>
        <w:t>.</w:t>
      </w:r>
    </w:p>
    <w:p w:rsidR="00831699" w:rsidRPr="00831699" w:rsidRDefault="00831699" w:rsidP="00831699">
      <w:pPr>
        <w:tabs>
          <w:tab w:val="left" w:pos="720"/>
        </w:tabs>
        <w:spacing w:after="0" w:line="240" w:lineRule="auto"/>
        <w:rPr>
          <w:color w:val="auto"/>
        </w:rPr>
      </w:pPr>
    </w:p>
    <w:p w:rsidR="00831699" w:rsidRPr="00831699" w:rsidRDefault="00831699" w:rsidP="00831699">
      <w:pPr>
        <w:numPr>
          <w:ilvl w:val="1"/>
          <w:numId w:val="11"/>
        </w:numPr>
        <w:tabs>
          <w:tab w:val="left" w:pos="720"/>
          <w:tab w:val="left" w:pos="1260"/>
        </w:tabs>
        <w:spacing w:after="0" w:line="240" w:lineRule="auto"/>
        <w:ind w:left="0" w:firstLine="0"/>
        <w:contextualSpacing/>
        <w:jc w:val="both"/>
        <w:rPr>
          <w:color w:val="auto"/>
        </w:rPr>
      </w:pPr>
      <w:r w:rsidRPr="00831699">
        <w:rPr>
          <w:color w:val="auto"/>
        </w:rPr>
        <w:t xml:space="preserve">Exhaust all possible means to facilitate the preparation of documentary requirements to secure the </w:t>
      </w:r>
      <w:r w:rsidR="00861B05">
        <w:rPr>
          <w:color w:val="auto"/>
        </w:rPr>
        <w:t>Transfer Certificates of Title (</w:t>
      </w:r>
      <w:r w:rsidRPr="00831699">
        <w:rPr>
          <w:color w:val="auto"/>
        </w:rPr>
        <w:t>TCTs</w:t>
      </w:r>
      <w:r w:rsidR="00861B05">
        <w:rPr>
          <w:color w:val="auto"/>
        </w:rPr>
        <w:t>)</w:t>
      </w:r>
      <w:r w:rsidRPr="00831699">
        <w:rPr>
          <w:color w:val="auto"/>
        </w:rPr>
        <w:t xml:space="preserve"> of all parcels of land acquired, as evidence of ownership of NTA over these properties</w:t>
      </w:r>
      <w:r w:rsidR="00861B05">
        <w:rPr>
          <w:color w:val="auto"/>
        </w:rPr>
        <w:t>.</w:t>
      </w:r>
    </w:p>
    <w:p w:rsidR="00831699" w:rsidRPr="00831699" w:rsidRDefault="00831699" w:rsidP="00831699">
      <w:pPr>
        <w:tabs>
          <w:tab w:val="left" w:pos="720"/>
        </w:tabs>
        <w:spacing w:after="0" w:line="240" w:lineRule="auto"/>
        <w:rPr>
          <w:color w:val="auto"/>
        </w:rPr>
      </w:pPr>
    </w:p>
    <w:p w:rsidR="00831699" w:rsidRDefault="00831699" w:rsidP="00831699">
      <w:pPr>
        <w:numPr>
          <w:ilvl w:val="1"/>
          <w:numId w:val="11"/>
        </w:numPr>
        <w:tabs>
          <w:tab w:val="left" w:pos="720"/>
          <w:tab w:val="left" w:pos="1260"/>
        </w:tabs>
        <w:spacing w:after="0" w:line="240" w:lineRule="auto"/>
        <w:ind w:left="0" w:firstLine="0"/>
        <w:contextualSpacing/>
        <w:jc w:val="both"/>
        <w:rPr>
          <w:color w:val="auto"/>
        </w:rPr>
      </w:pPr>
      <w:r w:rsidRPr="00831699">
        <w:rPr>
          <w:color w:val="auto"/>
        </w:rPr>
        <w:t xml:space="preserve">Require the Accountant of NTA </w:t>
      </w:r>
      <w:proofErr w:type="spellStart"/>
      <w:r w:rsidRPr="00831699">
        <w:rPr>
          <w:color w:val="auto"/>
        </w:rPr>
        <w:t>Pangasinan</w:t>
      </w:r>
      <w:proofErr w:type="spellEnd"/>
      <w:r w:rsidRPr="00831699">
        <w:rPr>
          <w:color w:val="auto"/>
        </w:rPr>
        <w:t xml:space="preserve"> Branch to drop the parcel of NFA land recorded in the books as the donation did not materialize.</w:t>
      </w:r>
    </w:p>
    <w:p w:rsidR="009F4A1C" w:rsidRDefault="009F4A1C" w:rsidP="009F4A1C">
      <w:pPr>
        <w:tabs>
          <w:tab w:val="left" w:pos="720"/>
          <w:tab w:val="left" w:pos="1260"/>
        </w:tabs>
        <w:spacing w:after="0" w:line="240" w:lineRule="auto"/>
        <w:contextualSpacing/>
        <w:jc w:val="both"/>
        <w:rPr>
          <w:color w:val="auto"/>
        </w:rPr>
      </w:pPr>
    </w:p>
    <w:p w:rsidR="009F4A1C" w:rsidRPr="00831699" w:rsidRDefault="009F4A1C" w:rsidP="00831699">
      <w:pPr>
        <w:numPr>
          <w:ilvl w:val="1"/>
          <w:numId w:val="11"/>
        </w:numPr>
        <w:tabs>
          <w:tab w:val="left" w:pos="720"/>
          <w:tab w:val="left" w:pos="1260"/>
        </w:tabs>
        <w:spacing w:after="0" w:line="240" w:lineRule="auto"/>
        <w:ind w:left="0" w:firstLine="0"/>
        <w:contextualSpacing/>
        <w:jc w:val="both"/>
        <w:rPr>
          <w:color w:val="auto"/>
        </w:rPr>
      </w:pPr>
      <w:r>
        <w:rPr>
          <w:color w:val="auto"/>
        </w:rPr>
        <w:t>Instruct the Accountant of NTA CO to drop from the books the motor vehicle transferred without cost to the DA.</w:t>
      </w:r>
    </w:p>
    <w:p w:rsidR="004F4EB2" w:rsidRPr="003E31E0" w:rsidRDefault="004F4EB2" w:rsidP="007D6526">
      <w:pPr>
        <w:spacing w:after="0" w:line="240" w:lineRule="auto"/>
        <w:jc w:val="both"/>
        <w:rPr>
          <w:color w:val="auto"/>
        </w:rPr>
      </w:pPr>
    </w:p>
    <w:p w:rsidR="00E12008" w:rsidRPr="00E12008" w:rsidRDefault="00E12008" w:rsidP="00E12008">
      <w:pPr>
        <w:pStyle w:val="ListParagraph"/>
        <w:ind w:left="0"/>
        <w:jc w:val="both"/>
        <w:rPr>
          <w:rFonts w:ascii="Arial" w:hAnsi="Arial" w:cs="Arial"/>
        </w:rPr>
      </w:pPr>
      <w:r w:rsidRPr="00E12008">
        <w:rPr>
          <w:rFonts w:ascii="Arial" w:hAnsi="Arial" w:cs="Arial"/>
        </w:rPr>
        <w:t xml:space="preserve">The other significant audit observations and recommendations that need immediate action are as follows: </w:t>
      </w:r>
    </w:p>
    <w:p w:rsidR="00E12008" w:rsidRDefault="00E12008" w:rsidP="007D6526">
      <w:pPr>
        <w:pStyle w:val="ListParagraph"/>
        <w:spacing w:after="0" w:afterAutospacing="0"/>
        <w:ind w:left="0"/>
        <w:contextualSpacing w:val="0"/>
        <w:jc w:val="both"/>
        <w:rPr>
          <w:rFonts w:ascii="Arial" w:hAnsi="Arial" w:cs="Arial"/>
          <w:b/>
        </w:rPr>
      </w:pPr>
    </w:p>
    <w:p w:rsidR="00E12008" w:rsidRPr="00861B05" w:rsidRDefault="00E12008" w:rsidP="00E12008">
      <w:pPr>
        <w:pStyle w:val="ListParagraph"/>
        <w:numPr>
          <w:ilvl w:val="0"/>
          <w:numId w:val="11"/>
        </w:numPr>
        <w:ind w:left="0" w:firstLine="0"/>
        <w:jc w:val="both"/>
        <w:rPr>
          <w:rFonts w:ascii="Arial" w:hAnsi="Arial" w:cs="Arial"/>
          <w:bCs/>
        </w:rPr>
      </w:pPr>
      <w:r w:rsidRPr="00861B05">
        <w:rPr>
          <w:rFonts w:ascii="Arial" w:hAnsi="Arial" w:cs="Arial"/>
          <w:bCs/>
        </w:rPr>
        <w:t xml:space="preserve">NTA undertook the overall supervision of the implementation of </w:t>
      </w:r>
      <w:r w:rsidR="00861B05">
        <w:rPr>
          <w:rFonts w:ascii="Arial" w:hAnsi="Arial" w:cs="Arial"/>
          <w:bCs/>
        </w:rPr>
        <w:t>1</w:t>
      </w:r>
      <w:r w:rsidRPr="00861B05">
        <w:rPr>
          <w:rFonts w:ascii="Arial" w:hAnsi="Arial" w:cs="Arial"/>
          <w:bCs/>
        </w:rPr>
        <w:t xml:space="preserve">37 irrigation projects of 79 Local Government Units (LGUs) in the CAR and Region I aggregating P969.596 million, and direct implementation of four projects in </w:t>
      </w:r>
      <w:proofErr w:type="spellStart"/>
      <w:r w:rsidRPr="00861B05">
        <w:rPr>
          <w:rFonts w:ascii="Arial" w:hAnsi="Arial" w:cs="Arial"/>
          <w:bCs/>
        </w:rPr>
        <w:t>Sinait</w:t>
      </w:r>
      <w:proofErr w:type="spellEnd"/>
      <w:r w:rsidRPr="00861B05">
        <w:rPr>
          <w:rFonts w:ascii="Arial" w:hAnsi="Arial" w:cs="Arial"/>
          <w:bCs/>
        </w:rPr>
        <w:t xml:space="preserve">, </w:t>
      </w:r>
      <w:proofErr w:type="spellStart"/>
      <w:r w:rsidRPr="00861B05">
        <w:rPr>
          <w:rFonts w:ascii="Arial" w:hAnsi="Arial" w:cs="Arial"/>
          <w:bCs/>
        </w:rPr>
        <w:t>Ilocos</w:t>
      </w:r>
      <w:proofErr w:type="spellEnd"/>
      <w:r w:rsidRPr="00861B05">
        <w:rPr>
          <w:rFonts w:ascii="Arial" w:hAnsi="Arial" w:cs="Arial"/>
          <w:bCs/>
        </w:rPr>
        <w:t xml:space="preserve"> Sur and one project in </w:t>
      </w:r>
      <w:proofErr w:type="spellStart"/>
      <w:r w:rsidRPr="00861B05">
        <w:rPr>
          <w:rFonts w:ascii="Arial" w:hAnsi="Arial" w:cs="Arial"/>
          <w:bCs/>
        </w:rPr>
        <w:t>Solsona</w:t>
      </w:r>
      <w:proofErr w:type="spellEnd"/>
      <w:r w:rsidRPr="00861B05">
        <w:rPr>
          <w:rFonts w:ascii="Arial" w:hAnsi="Arial" w:cs="Arial"/>
          <w:bCs/>
        </w:rPr>
        <w:t xml:space="preserve">, </w:t>
      </w:r>
      <w:proofErr w:type="spellStart"/>
      <w:r w:rsidRPr="00861B05">
        <w:rPr>
          <w:rFonts w:ascii="Arial" w:hAnsi="Arial" w:cs="Arial"/>
          <w:bCs/>
        </w:rPr>
        <w:t>Ilocos</w:t>
      </w:r>
      <w:proofErr w:type="spellEnd"/>
      <w:r w:rsidRPr="00861B05">
        <w:rPr>
          <w:rFonts w:ascii="Arial" w:hAnsi="Arial" w:cs="Arial"/>
          <w:bCs/>
        </w:rPr>
        <w:t xml:space="preserve"> Norte totaling P27.917 million, or a total of P997.513 million in CYs 2014-2017 which </w:t>
      </w:r>
      <w:r w:rsidRPr="00861B05">
        <w:rPr>
          <w:rFonts w:ascii="Arial" w:hAnsi="Arial" w:cs="Arial"/>
        </w:rPr>
        <w:t>were</w:t>
      </w:r>
      <w:r w:rsidRPr="00861B05">
        <w:rPr>
          <w:rFonts w:ascii="Arial" w:hAnsi="Arial" w:cs="Arial"/>
          <w:bCs/>
        </w:rPr>
        <w:t xml:space="preserve"> not in consonance with its mandate as provided under EO No. 245. Furthermore, deficiencies were noted in the implementation of the </w:t>
      </w:r>
      <w:r w:rsidR="006877F0" w:rsidRPr="006877F0">
        <w:rPr>
          <w:rFonts w:ascii="Arial" w:hAnsi="Arial" w:cs="Arial"/>
        </w:rPr>
        <w:t xml:space="preserve">Irrigation Support Project </w:t>
      </w:r>
      <w:r w:rsidR="006877F0">
        <w:rPr>
          <w:rFonts w:ascii="Arial" w:hAnsi="Arial" w:cs="Arial"/>
        </w:rPr>
        <w:t>f</w:t>
      </w:r>
      <w:r w:rsidR="006877F0" w:rsidRPr="006877F0">
        <w:rPr>
          <w:rFonts w:ascii="Arial" w:hAnsi="Arial" w:cs="Arial"/>
        </w:rPr>
        <w:t>or Small Tobacco Farmers (ISPSTFs)</w:t>
      </w:r>
      <w:r w:rsidR="006877F0">
        <w:rPr>
          <w:rFonts w:ascii="Arial" w:hAnsi="Arial" w:cs="Arial"/>
        </w:rPr>
        <w:t xml:space="preserve"> </w:t>
      </w:r>
      <w:r w:rsidRPr="00861B05">
        <w:rPr>
          <w:rFonts w:ascii="Arial" w:hAnsi="Arial" w:cs="Arial"/>
          <w:bCs/>
        </w:rPr>
        <w:t>which included, among others: (a) non-submission of certifications of NTA Accountant that funds amounting to P969.596 million previously transferred to the LGUs as implementing agencies have been liquidated and accounted for in the books; (b) non-settlement/liquidation of funds transferred to 35 LGUs totaling P113.090 million despite project completion; (c) unutilized portion of funds totaling P398,354 were not refunded to NTA by 11 LGUs contrary to Item 4.9 of COA Circular No. 94-013; and (d) a total of P3.669 million excess funds remained under the custody of NTA and were not reverted back to the Bureau of Treasury</w:t>
      </w:r>
      <w:r w:rsidR="004823CB">
        <w:rPr>
          <w:rFonts w:ascii="Arial" w:hAnsi="Arial" w:cs="Arial"/>
          <w:bCs/>
        </w:rPr>
        <w:t xml:space="preserve"> (</w:t>
      </w:r>
      <w:proofErr w:type="spellStart"/>
      <w:r w:rsidR="004823CB">
        <w:rPr>
          <w:rFonts w:ascii="Arial" w:hAnsi="Arial" w:cs="Arial"/>
          <w:bCs/>
        </w:rPr>
        <w:t>BTr</w:t>
      </w:r>
      <w:proofErr w:type="spellEnd"/>
      <w:r w:rsidR="004823CB">
        <w:rPr>
          <w:rFonts w:ascii="Arial" w:hAnsi="Arial" w:cs="Arial"/>
          <w:bCs/>
        </w:rPr>
        <w:t>)</w:t>
      </w:r>
      <w:r w:rsidRPr="00861B05">
        <w:rPr>
          <w:rFonts w:ascii="Arial" w:hAnsi="Arial" w:cs="Arial"/>
          <w:bCs/>
        </w:rPr>
        <w:t xml:space="preserve">. </w:t>
      </w:r>
    </w:p>
    <w:p w:rsidR="00E12008" w:rsidRDefault="00E12008" w:rsidP="007D6526">
      <w:pPr>
        <w:pStyle w:val="ListParagraph"/>
        <w:spacing w:after="0" w:afterAutospacing="0"/>
        <w:ind w:left="0"/>
        <w:contextualSpacing w:val="0"/>
        <w:jc w:val="both"/>
        <w:rPr>
          <w:rFonts w:ascii="Arial" w:hAnsi="Arial" w:cs="Arial"/>
          <w:b/>
        </w:rPr>
      </w:pPr>
    </w:p>
    <w:p w:rsidR="006877F0" w:rsidRPr="006877F0" w:rsidRDefault="006877F0" w:rsidP="006877F0">
      <w:pPr>
        <w:pStyle w:val="ListParagraph"/>
        <w:numPr>
          <w:ilvl w:val="1"/>
          <w:numId w:val="11"/>
        </w:numPr>
        <w:tabs>
          <w:tab w:val="left" w:pos="720"/>
        </w:tabs>
        <w:ind w:left="0" w:firstLine="0"/>
        <w:jc w:val="both"/>
        <w:rPr>
          <w:rFonts w:ascii="Arial" w:hAnsi="Arial" w:cs="Arial"/>
          <w:bCs/>
        </w:rPr>
      </w:pPr>
      <w:r w:rsidRPr="006877F0">
        <w:rPr>
          <w:rFonts w:ascii="Arial" w:hAnsi="Arial" w:cs="Arial"/>
          <w:bCs/>
        </w:rPr>
        <w:t>We reiterated our previous year’s audit recommendations that Management:</w:t>
      </w:r>
    </w:p>
    <w:p w:rsidR="006877F0" w:rsidRPr="006877F0" w:rsidRDefault="006877F0" w:rsidP="006877F0">
      <w:pPr>
        <w:pStyle w:val="ListParagraph"/>
        <w:rPr>
          <w:rFonts w:ascii="Arial" w:hAnsi="Arial" w:cs="Arial"/>
          <w:bCs/>
        </w:rPr>
      </w:pPr>
    </w:p>
    <w:p w:rsidR="006877F0" w:rsidRPr="006877F0" w:rsidRDefault="006877F0" w:rsidP="006877F0">
      <w:pPr>
        <w:pStyle w:val="ListParagraph"/>
        <w:numPr>
          <w:ilvl w:val="0"/>
          <w:numId w:val="16"/>
        </w:numPr>
        <w:tabs>
          <w:tab w:val="left" w:pos="720"/>
          <w:tab w:val="left" w:pos="1350"/>
        </w:tabs>
        <w:ind w:left="720" w:firstLine="0"/>
        <w:jc w:val="both"/>
        <w:rPr>
          <w:rFonts w:ascii="Arial" w:hAnsi="Arial" w:cs="Arial"/>
          <w:bCs/>
        </w:rPr>
      </w:pPr>
      <w:r w:rsidRPr="006877F0">
        <w:rPr>
          <w:rFonts w:ascii="Arial" w:hAnsi="Arial" w:cs="Arial"/>
          <w:bCs/>
        </w:rPr>
        <w:t xml:space="preserve">Consider the involvement of </w:t>
      </w:r>
      <w:r w:rsidR="004823CB">
        <w:rPr>
          <w:rFonts w:ascii="Arial" w:hAnsi="Arial" w:cs="Arial"/>
          <w:bCs/>
        </w:rPr>
        <w:t>National Irrigation Administration (</w:t>
      </w:r>
      <w:r w:rsidRPr="006877F0">
        <w:rPr>
          <w:rFonts w:ascii="Arial" w:hAnsi="Arial" w:cs="Arial"/>
          <w:bCs/>
        </w:rPr>
        <w:t>NIA</w:t>
      </w:r>
      <w:r w:rsidR="004823CB">
        <w:rPr>
          <w:rFonts w:ascii="Arial" w:hAnsi="Arial" w:cs="Arial"/>
          <w:bCs/>
        </w:rPr>
        <w:t>)</w:t>
      </w:r>
      <w:r w:rsidRPr="006877F0">
        <w:rPr>
          <w:rFonts w:ascii="Arial" w:hAnsi="Arial" w:cs="Arial"/>
          <w:bCs/>
        </w:rPr>
        <w:t xml:space="preserve"> in the implementation of its on-going and succeeding irrigation projects under ISPSTFs </w:t>
      </w:r>
      <w:r w:rsidRPr="006877F0">
        <w:rPr>
          <w:rFonts w:ascii="Arial" w:hAnsi="Arial" w:cs="Arial"/>
        </w:rPr>
        <w:t xml:space="preserve">since NIA has the mandate to plan, design, construct and/or improve all types of irrigation projects; </w:t>
      </w:r>
    </w:p>
    <w:p w:rsidR="006877F0" w:rsidRPr="006877F0" w:rsidRDefault="006877F0" w:rsidP="006877F0">
      <w:pPr>
        <w:pStyle w:val="ListParagraph"/>
        <w:rPr>
          <w:rFonts w:ascii="Arial" w:hAnsi="Arial" w:cs="Arial"/>
        </w:rPr>
      </w:pPr>
    </w:p>
    <w:p w:rsidR="006877F0" w:rsidRPr="006877F0" w:rsidRDefault="006877F0" w:rsidP="006877F0">
      <w:pPr>
        <w:pStyle w:val="ListParagraph"/>
        <w:numPr>
          <w:ilvl w:val="0"/>
          <w:numId w:val="16"/>
        </w:numPr>
        <w:tabs>
          <w:tab w:val="left" w:pos="720"/>
          <w:tab w:val="left" w:pos="1350"/>
        </w:tabs>
        <w:ind w:left="720" w:firstLine="0"/>
        <w:jc w:val="both"/>
        <w:rPr>
          <w:rFonts w:ascii="Arial" w:hAnsi="Arial" w:cs="Arial"/>
        </w:rPr>
      </w:pPr>
      <w:r w:rsidRPr="006877F0">
        <w:rPr>
          <w:rFonts w:ascii="Arial" w:hAnsi="Arial" w:cs="Arial"/>
        </w:rPr>
        <w:lastRenderedPageBreak/>
        <w:t xml:space="preserve">Instruct the Accountant to prepare and submit the required certification on the funds transferred to LGUs in compliance with Section 4(6) of </w:t>
      </w:r>
      <w:r w:rsidR="004823CB">
        <w:rPr>
          <w:rFonts w:ascii="Arial" w:hAnsi="Arial" w:cs="Arial"/>
        </w:rPr>
        <w:t>Presidential Decree (</w:t>
      </w:r>
      <w:r w:rsidRPr="006877F0">
        <w:rPr>
          <w:rFonts w:ascii="Arial" w:hAnsi="Arial" w:cs="Arial"/>
        </w:rPr>
        <w:t>PD</w:t>
      </w:r>
      <w:r w:rsidR="004823CB">
        <w:rPr>
          <w:rFonts w:ascii="Arial" w:hAnsi="Arial" w:cs="Arial"/>
        </w:rPr>
        <w:t>)</w:t>
      </w:r>
      <w:r w:rsidRPr="006877F0">
        <w:rPr>
          <w:rFonts w:ascii="Arial" w:hAnsi="Arial" w:cs="Arial"/>
        </w:rPr>
        <w:t xml:space="preserve"> No. 1445 and COA Circular No. 2016-002 dated May 31, 2016; </w:t>
      </w:r>
    </w:p>
    <w:p w:rsidR="006877F0" w:rsidRPr="006877F0" w:rsidRDefault="006877F0" w:rsidP="006877F0">
      <w:pPr>
        <w:pStyle w:val="ListParagraph"/>
        <w:rPr>
          <w:rFonts w:ascii="Arial" w:hAnsi="Arial" w:cs="Arial"/>
        </w:rPr>
      </w:pPr>
    </w:p>
    <w:p w:rsidR="006877F0" w:rsidRPr="006877F0" w:rsidRDefault="006877F0" w:rsidP="006877F0">
      <w:pPr>
        <w:pStyle w:val="ListParagraph"/>
        <w:numPr>
          <w:ilvl w:val="0"/>
          <w:numId w:val="16"/>
        </w:numPr>
        <w:tabs>
          <w:tab w:val="left" w:pos="720"/>
          <w:tab w:val="left" w:pos="1350"/>
        </w:tabs>
        <w:ind w:left="720" w:firstLine="0"/>
        <w:jc w:val="both"/>
        <w:rPr>
          <w:rFonts w:ascii="Arial" w:hAnsi="Arial" w:cs="Arial"/>
        </w:rPr>
      </w:pPr>
      <w:r w:rsidRPr="006877F0">
        <w:rPr>
          <w:rFonts w:ascii="Arial" w:hAnsi="Arial" w:cs="Arial"/>
        </w:rPr>
        <w:t xml:space="preserve">Send Demand Letters to LGUs with </w:t>
      </w:r>
      <w:proofErr w:type="spellStart"/>
      <w:r w:rsidRPr="006877F0">
        <w:rPr>
          <w:rFonts w:ascii="Arial" w:hAnsi="Arial" w:cs="Arial"/>
        </w:rPr>
        <w:t>unliquidated</w:t>
      </w:r>
      <w:proofErr w:type="spellEnd"/>
      <w:r w:rsidRPr="006877F0">
        <w:rPr>
          <w:rFonts w:ascii="Arial" w:hAnsi="Arial" w:cs="Arial"/>
        </w:rPr>
        <w:t xml:space="preserve"> fund balances for completed irrigation projects and, set/provide time frame to implement the projects as planned so that intended beneficiaries could timely benefit </w:t>
      </w:r>
      <w:r w:rsidR="004823CB">
        <w:rPr>
          <w:rFonts w:ascii="Arial" w:hAnsi="Arial" w:cs="Arial"/>
        </w:rPr>
        <w:t xml:space="preserve">            </w:t>
      </w:r>
      <w:proofErr w:type="spellStart"/>
      <w:r w:rsidRPr="006877F0">
        <w:rPr>
          <w:rFonts w:ascii="Arial" w:hAnsi="Arial" w:cs="Arial"/>
        </w:rPr>
        <w:t>therefrom</w:t>
      </w:r>
      <w:proofErr w:type="spellEnd"/>
      <w:r w:rsidRPr="006877F0">
        <w:rPr>
          <w:rFonts w:ascii="Arial" w:hAnsi="Arial" w:cs="Arial"/>
        </w:rPr>
        <w:t>; and</w:t>
      </w:r>
    </w:p>
    <w:p w:rsidR="006877F0" w:rsidRPr="006877F0" w:rsidRDefault="006877F0" w:rsidP="006877F0">
      <w:pPr>
        <w:pStyle w:val="ListParagraph"/>
        <w:rPr>
          <w:rFonts w:ascii="Arial" w:hAnsi="Arial" w:cs="Arial"/>
        </w:rPr>
      </w:pPr>
    </w:p>
    <w:p w:rsidR="006877F0" w:rsidRPr="006877F0" w:rsidRDefault="006877F0" w:rsidP="006877F0">
      <w:pPr>
        <w:pStyle w:val="ListParagraph"/>
        <w:numPr>
          <w:ilvl w:val="0"/>
          <w:numId w:val="16"/>
        </w:numPr>
        <w:tabs>
          <w:tab w:val="left" w:pos="720"/>
          <w:tab w:val="left" w:pos="1350"/>
        </w:tabs>
        <w:ind w:left="720" w:firstLine="0"/>
        <w:jc w:val="both"/>
        <w:rPr>
          <w:rFonts w:ascii="Arial" w:hAnsi="Arial" w:cs="Arial"/>
        </w:rPr>
      </w:pPr>
      <w:r w:rsidRPr="006877F0">
        <w:rPr>
          <w:rFonts w:ascii="Arial" w:hAnsi="Arial" w:cs="Arial"/>
        </w:rPr>
        <w:t>Require the concerned LGUs to return the unutilized/unexpended portion of funds to NTA in compliance with COA Circular No. 94-013.</w:t>
      </w:r>
    </w:p>
    <w:p w:rsidR="006877F0" w:rsidRPr="006877F0" w:rsidRDefault="006877F0" w:rsidP="006877F0">
      <w:pPr>
        <w:pStyle w:val="ListParagraph"/>
        <w:rPr>
          <w:rFonts w:ascii="Arial" w:hAnsi="Arial" w:cs="Arial"/>
        </w:rPr>
      </w:pPr>
    </w:p>
    <w:p w:rsidR="006877F0" w:rsidRPr="006877F0" w:rsidRDefault="006877F0" w:rsidP="006877F0">
      <w:pPr>
        <w:pStyle w:val="ListParagraph"/>
        <w:numPr>
          <w:ilvl w:val="1"/>
          <w:numId w:val="11"/>
        </w:numPr>
        <w:tabs>
          <w:tab w:val="left" w:pos="720"/>
        </w:tabs>
        <w:ind w:left="0" w:firstLine="0"/>
        <w:jc w:val="both"/>
        <w:rPr>
          <w:rFonts w:ascii="Arial" w:hAnsi="Arial" w:cs="Arial"/>
        </w:rPr>
      </w:pPr>
      <w:r w:rsidRPr="006877F0">
        <w:rPr>
          <w:rFonts w:ascii="Arial" w:hAnsi="Arial" w:cs="Arial"/>
        </w:rPr>
        <w:t xml:space="preserve">We, likewise, recommended that Management revert back to the </w:t>
      </w:r>
      <w:proofErr w:type="spellStart"/>
      <w:r w:rsidRPr="006877F0">
        <w:rPr>
          <w:rFonts w:ascii="Arial" w:hAnsi="Arial" w:cs="Arial"/>
        </w:rPr>
        <w:t>BTr</w:t>
      </w:r>
      <w:proofErr w:type="spellEnd"/>
      <w:r w:rsidRPr="006877F0">
        <w:rPr>
          <w:rFonts w:ascii="Arial" w:hAnsi="Arial" w:cs="Arial"/>
        </w:rPr>
        <w:t xml:space="preserve"> the unreleased balances, in compliance with Item 4.9 of COA Circular No. 94-013 dated December 13, 1994.</w:t>
      </w:r>
    </w:p>
    <w:p w:rsidR="006877F0" w:rsidRDefault="006877F0" w:rsidP="0044340F">
      <w:pPr>
        <w:pStyle w:val="ListParagraph"/>
        <w:spacing w:after="0" w:afterAutospacing="0"/>
        <w:ind w:left="0"/>
        <w:contextualSpacing w:val="0"/>
        <w:jc w:val="both"/>
        <w:rPr>
          <w:rFonts w:ascii="Arial" w:hAnsi="Arial" w:cs="Arial"/>
        </w:rPr>
      </w:pPr>
    </w:p>
    <w:p w:rsidR="00AB714C" w:rsidRPr="0008258C" w:rsidRDefault="00AB714C" w:rsidP="00AB714C">
      <w:pPr>
        <w:pStyle w:val="ListParagraph"/>
        <w:numPr>
          <w:ilvl w:val="0"/>
          <w:numId w:val="11"/>
        </w:numPr>
        <w:ind w:left="0" w:firstLine="0"/>
        <w:jc w:val="both"/>
        <w:rPr>
          <w:rFonts w:ascii="Arial" w:hAnsi="Arial" w:cs="Arial"/>
        </w:rPr>
      </w:pPr>
      <w:r w:rsidRPr="0008258C">
        <w:rPr>
          <w:rFonts w:ascii="Arial" w:hAnsi="Arial" w:cs="Arial"/>
        </w:rPr>
        <w:t xml:space="preserve">The Tobacco Dust Production Agribusiness Project (TDPAP) located in </w:t>
      </w:r>
      <w:r w:rsidR="0008258C">
        <w:rPr>
          <w:rFonts w:ascii="Arial" w:hAnsi="Arial" w:cs="Arial"/>
        </w:rPr>
        <w:t xml:space="preserve">          </w:t>
      </w:r>
      <w:proofErr w:type="spellStart"/>
      <w:r w:rsidRPr="0008258C">
        <w:rPr>
          <w:rFonts w:ascii="Arial" w:hAnsi="Arial" w:cs="Arial"/>
        </w:rPr>
        <w:t>Sto</w:t>
      </w:r>
      <w:proofErr w:type="spellEnd"/>
      <w:r w:rsidRPr="0008258C">
        <w:rPr>
          <w:rFonts w:ascii="Arial" w:hAnsi="Arial" w:cs="Arial"/>
        </w:rPr>
        <w:t>. Tomas, La Union incurred a total loss of P32.883 million since it started operations in 2009 due to poor planning and execution thus, casting doubt on the ability of NTA to pursue the objective of the project. In addition, the Employees’ Quarter of TDPAP with a net book value of P0.879 million remained idle.</w:t>
      </w:r>
    </w:p>
    <w:p w:rsidR="00AB714C" w:rsidRDefault="00AB714C" w:rsidP="0044340F">
      <w:pPr>
        <w:pStyle w:val="ListParagraph"/>
        <w:spacing w:after="0" w:afterAutospacing="0"/>
        <w:ind w:left="0"/>
        <w:contextualSpacing w:val="0"/>
        <w:jc w:val="both"/>
        <w:rPr>
          <w:rFonts w:ascii="Arial" w:hAnsi="Arial" w:cs="Arial"/>
        </w:rPr>
      </w:pPr>
    </w:p>
    <w:p w:rsidR="00F4420D" w:rsidRPr="00F4420D" w:rsidRDefault="00F4420D" w:rsidP="00F4420D">
      <w:pPr>
        <w:pStyle w:val="ListParagraph"/>
        <w:numPr>
          <w:ilvl w:val="1"/>
          <w:numId w:val="11"/>
        </w:numPr>
        <w:tabs>
          <w:tab w:val="left" w:pos="720"/>
        </w:tabs>
        <w:spacing w:after="0" w:afterAutospacing="0"/>
        <w:ind w:left="0" w:firstLine="0"/>
        <w:jc w:val="both"/>
        <w:rPr>
          <w:rFonts w:ascii="Arial" w:hAnsi="Arial" w:cs="Arial"/>
        </w:rPr>
      </w:pPr>
      <w:r w:rsidRPr="00F4420D">
        <w:rPr>
          <w:rFonts w:ascii="Arial" w:eastAsiaTheme="minorEastAsia" w:hAnsi="Arial" w:cs="Arial"/>
        </w:rPr>
        <w:t>We reiterated our recommendations that Management:</w:t>
      </w:r>
    </w:p>
    <w:p w:rsidR="00F4420D" w:rsidRPr="00F4420D" w:rsidRDefault="00F4420D" w:rsidP="00F4420D">
      <w:pPr>
        <w:numPr>
          <w:ilvl w:val="1"/>
          <w:numId w:val="19"/>
        </w:numPr>
        <w:tabs>
          <w:tab w:val="left" w:pos="709"/>
          <w:tab w:val="left" w:pos="1260"/>
        </w:tabs>
        <w:spacing w:before="100" w:beforeAutospacing="1" w:after="0" w:line="240" w:lineRule="auto"/>
        <w:ind w:left="709" w:firstLine="0"/>
        <w:contextualSpacing/>
        <w:jc w:val="both"/>
        <w:rPr>
          <w:rFonts w:eastAsia="Calibri"/>
          <w:color w:val="auto"/>
        </w:rPr>
      </w:pPr>
      <w:bookmarkStart w:id="1" w:name="_Hlk515526834"/>
      <w:r w:rsidRPr="00F4420D">
        <w:rPr>
          <w:rFonts w:eastAsia="Calibri"/>
          <w:color w:val="auto"/>
        </w:rPr>
        <w:t>Enhance marketing strategy specially in the information dissemination aspect to promote the use of tobacco dust as an organic fertilizer and to increase the sales/revenue of the project, considering that the by-product is organic which is effective for fishponds and the environment as a whole</w:t>
      </w:r>
      <w:bookmarkEnd w:id="1"/>
      <w:r w:rsidRPr="00F4420D">
        <w:rPr>
          <w:rFonts w:eastAsia="Calibri"/>
          <w:color w:val="auto"/>
        </w:rPr>
        <w:t xml:space="preserve">; </w:t>
      </w:r>
    </w:p>
    <w:p w:rsidR="00F4420D" w:rsidRPr="00F4420D" w:rsidRDefault="00F4420D" w:rsidP="00F4420D">
      <w:pPr>
        <w:tabs>
          <w:tab w:val="left" w:pos="709"/>
          <w:tab w:val="left" w:pos="1260"/>
        </w:tabs>
        <w:spacing w:before="100" w:beforeAutospacing="1" w:after="0" w:line="240" w:lineRule="auto"/>
        <w:ind w:left="1134"/>
        <w:contextualSpacing/>
        <w:jc w:val="both"/>
        <w:rPr>
          <w:rFonts w:eastAsia="Calibri"/>
          <w:color w:val="auto"/>
        </w:rPr>
      </w:pPr>
    </w:p>
    <w:p w:rsidR="00F4420D" w:rsidRPr="00F4420D" w:rsidRDefault="00F4420D" w:rsidP="00F4420D">
      <w:pPr>
        <w:numPr>
          <w:ilvl w:val="1"/>
          <w:numId w:val="19"/>
        </w:numPr>
        <w:tabs>
          <w:tab w:val="left" w:pos="709"/>
          <w:tab w:val="left" w:pos="1260"/>
        </w:tabs>
        <w:spacing w:before="100" w:beforeAutospacing="1" w:after="0" w:line="240" w:lineRule="auto"/>
        <w:ind w:left="709" w:firstLine="0"/>
        <w:contextualSpacing/>
        <w:jc w:val="both"/>
        <w:rPr>
          <w:rFonts w:eastAsia="Calibri"/>
          <w:color w:val="auto"/>
        </w:rPr>
      </w:pPr>
      <w:r w:rsidRPr="00F4420D">
        <w:rPr>
          <w:rFonts w:eastAsia="Calibri"/>
          <w:color w:val="auto"/>
        </w:rPr>
        <w:t>Develop alternative business option for the tobacco dust plant in the event that it will no longer pursue its operation such as offer for lease or disposal of the plant so as not to waste government funds and property; and</w:t>
      </w:r>
    </w:p>
    <w:p w:rsidR="00F4420D" w:rsidRPr="00F4420D" w:rsidRDefault="00F4420D" w:rsidP="00F4420D">
      <w:pPr>
        <w:tabs>
          <w:tab w:val="left" w:pos="1260"/>
        </w:tabs>
        <w:spacing w:after="0" w:line="240" w:lineRule="auto"/>
        <w:rPr>
          <w:rFonts w:eastAsia="Calibri"/>
          <w:color w:val="auto"/>
        </w:rPr>
      </w:pPr>
    </w:p>
    <w:p w:rsidR="00F4420D" w:rsidRPr="00F4420D" w:rsidRDefault="00F4420D" w:rsidP="00F4420D">
      <w:pPr>
        <w:numPr>
          <w:ilvl w:val="1"/>
          <w:numId w:val="19"/>
        </w:numPr>
        <w:tabs>
          <w:tab w:val="left" w:pos="709"/>
          <w:tab w:val="left" w:pos="1260"/>
        </w:tabs>
        <w:spacing w:before="100" w:beforeAutospacing="1" w:after="0" w:line="240" w:lineRule="auto"/>
        <w:ind w:left="709" w:firstLine="0"/>
        <w:contextualSpacing/>
        <w:jc w:val="both"/>
        <w:rPr>
          <w:rFonts w:eastAsia="Calibri"/>
          <w:color w:val="auto"/>
        </w:rPr>
      </w:pPr>
      <w:r w:rsidRPr="00F4420D">
        <w:rPr>
          <w:rFonts w:eastAsia="Calibri"/>
          <w:color w:val="auto"/>
        </w:rPr>
        <w:t xml:space="preserve">Study prudently the status and possible utilization of the Employees’ Quarter of TDPAP and develop an alternative use for it so that economic value will be derived. </w:t>
      </w:r>
      <w:r w:rsidR="00AE5E7F">
        <w:rPr>
          <w:rFonts w:eastAsia="Calibri"/>
          <w:color w:val="auto"/>
        </w:rPr>
        <w:t>Moreover</w:t>
      </w:r>
      <w:r w:rsidRPr="00F4420D">
        <w:rPr>
          <w:rFonts w:eastAsia="Calibri"/>
          <w:color w:val="auto"/>
        </w:rPr>
        <w:t>, asses</w:t>
      </w:r>
      <w:r w:rsidR="000708B3">
        <w:rPr>
          <w:rFonts w:eastAsia="Calibri"/>
          <w:color w:val="auto"/>
        </w:rPr>
        <w:t>s</w:t>
      </w:r>
      <w:r w:rsidRPr="00F4420D">
        <w:rPr>
          <w:rFonts w:eastAsia="Calibri"/>
          <w:color w:val="auto"/>
        </w:rPr>
        <w:t xml:space="preserve"> the benefits that can be derived </w:t>
      </w:r>
      <w:proofErr w:type="spellStart"/>
      <w:r w:rsidRPr="00F4420D">
        <w:rPr>
          <w:rFonts w:eastAsia="Calibri"/>
          <w:color w:val="auto"/>
        </w:rPr>
        <w:t>therefrom</w:t>
      </w:r>
      <w:proofErr w:type="spellEnd"/>
      <w:r w:rsidRPr="00F4420D">
        <w:rPr>
          <w:rFonts w:eastAsia="Calibri"/>
          <w:color w:val="auto"/>
        </w:rPr>
        <w:t xml:space="preserve"> over the cost to prevent further wastage of funds.</w:t>
      </w:r>
    </w:p>
    <w:p w:rsidR="00AB714C" w:rsidRDefault="00AB714C" w:rsidP="0044340F">
      <w:pPr>
        <w:pStyle w:val="ListParagraph"/>
        <w:spacing w:after="0" w:afterAutospacing="0"/>
        <w:ind w:left="0"/>
        <w:contextualSpacing w:val="0"/>
        <w:jc w:val="both"/>
        <w:rPr>
          <w:rFonts w:ascii="Arial" w:hAnsi="Arial" w:cs="Arial"/>
        </w:rPr>
      </w:pPr>
    </w:p>
    <w:p w:rsidR="00F4420D" w:rsidRPr="00F4420D" w:rsidRDefault="00F4420D" w:rsidP="00F4420D">
      <w:pPr>
        <w:pStyle w:val="ListParagraph"/>
        <w:numPr>
          <w:ilvl w:val="0"/>
          <w:numId w:val="11"/>
        </w:numPr>
        <w:ind w:left="0" w:firstLine="0"/>
        <w:jc w:val="both"/>
        <w:rPr>
          <w:rFonts w:ascii="Arial" w:hAnsi="Arial" w:cs="Arial"/>
        </w:rPr>
      </w:pPr>
      <w:proofErr w:type="spellStart"/>
      <w:r w:rsidRPr="00F4420D">
        <w:rPr>
          <w:rFonts w:ascii="Arial" w:hAnsi="Arial" w:cs="Arial"/>
        </w:rPr>
        <w:t>AgriPinoy</w:t>
      </w:r>
      <w:proofErr w:type="spellEnd"/>
      <w:r w:rsidRPr="00F4420D">
        <w:rPr>
          <w:rFonts w:ascii="Arial" w:hAnsi="Arial" w:cs="Arial"/>
        </w:rPr>
        <w:t xml:space="preserve"> Tobacco Farmers’ Processing and Trading Center (NTA </w:t>
      </w:r>
      <w:proofErr w:type="spellStart"/>
      <w:r w:rsidRPr="00F4420D">
        <w:rPr>
          <w:rFonts w:ascii="Arial" w:hAnsi="Arial" w:cs="Arial"/>
        </w:rPr>
        <w:t>AgriPinoy</w:t>
      </w:r>
      <w:proofErr w:type="spellEnd"/>
      <w:r w:rsidRPr="00F4420D">
        <w:rPr>
          <w:rFonts w:ascii="Arial" w:hAnsi="Arial" w:cs="Arial"/>
        </w:rPr>
        <w:t>) Milling Complex worth P83.075 million was not utilized for its intended purpose resulting in wastage of government funds.</w:t>
      </w:r>
    </w:p>
    <w:p w:rsidR="00F4420D" w:rsidRPr="0044340F" w:rsidRDefault="00F4420D" w:rsidP="0044340F">
      <w:pPr>
        <w:pStyle w:val="ListParagraph"/>
        <w:spacing w:after="0" w:afterAutospacing="0"/>
        <w:ind w:left="0"/>
        <w:contextualSpacing w:val="0"/>
        <w:jc w:val="both"/>
        <w:rPr>
          <w:rFonts w:ascii="Arial" w:hAnsi="Arial" w:cs="Arial"/>
        </w:rPr>
      </w:pPr>
    </w:p>
    <w:p w:rsidR="00F4420D" w:rsidRPr="00F4420D" w:rsidRDefault="00F4420D" w:rsidP="00F4420D">
      <w:pPr>
        <w:pStyle w:val="ListParagraph"/>
        <w:numPr>
          <w:ilvl w:val="1"/>
          <w:numId w:val="11"/>
        </w:numPr>
        <w:tabs>
          <w:tab w:val="left" w:pos="720"/>
        </w:tabs>
        <w:spacing w:after="0"/>
        <w:ind w:left="0" w:firstLine="0"/>
        <w:jc w:val="both"/>
        <w:rPr>
          <w:rFonts w:ascii="Arial" w:hAnsi="Arial" w:cs="Arial"/>
        </w:rPr>
      </w:pPr>
      <w:r w:rsidRPr="00F4420D">
        <w:rPr>
          <w:rFonts w:ascii="Arial" w:hAnsi="Arial" w:cs="Arial"/>
        </w:rPr>
        <w:t>We recommended that Management:</w:t>
      </w:r>
    </w:p>
    <w:p w:rsidR="00F4420D" w:rsidRPr="00F4420D" w:rsidRDefault="00F4420D" w:rsidP="00F4420D">
      <w:pPr>
        <w:pStyle w:val="ListParagraph"/>
        <w:spacing w:after="0" w:afterAutospacing="0"/>
        <w:rPr>
          <w:rFonts w:ascii="Arial" w:hAnsi="Arial" w:cs="Arial"/>
        </w:rPr>
      </w:pPr>
    </w:p>
    <w:p w:rsidR="00F4420D" w:rsidRPr="00F4420D" w:rsidRDefault="00F4420D" w:rsidP="00F4420D">
      <w:pPr>
        <w:pStyle w:val="ListParagraph"/>
        <w:numPr>
          <w:ilvl w:val="1"/>
          <w:numId w:val="21"/>
        </w:numPr>
        <w:tabs>
          <w:tab w:val="left" w:pos="1260"/>
        </w:tabs>
        <w:spacing w:after="0" w:afterAutospacing="0"/>
        <w:ind w:left="709" w:firstLine="0"/>
        <w:jc w:val="both"/>
        <w:rPr>
          <w:rFonts w:ascii="Arial" w:hAnsi="Arial" w:cs="Arial"/>
        </w:rPr>
      </w:pPr>
      <w:r w:rsidRPr="00F4420D">
        <w:rPr>
          <w:rFonts w:ascii="Arial" w:hAnsi="Arial" w:cs="Arial"/>
        </w:rPr>
        <w:t xml:space="preserve">Stop the continuous incurrence of electricity, security services and general services expenses at the </w:t>
      </w:r>
      <w:proofErr w:type="spellStart"/>
      <w:r w:rsidRPr="00F4420D">
        <w:rPr>
          <w:rFonts w:ascii="Arial" w:hAnsi="Arial" w:cs="Arial"/>
        </w:rPr>
        <w:t>AgriPinoy</w:t>
      </w:r>
      <w:proofErr w:type="spellEnd"/>
      <w:r w:rsidRPr="00F4420D">
        <w:rPr>
          <w:rFonts w:ascii="Arial" w:hAnsi="Arial" w:cs="Arial"/>
        </w:rPr>
        <w:t xml:space="preserve"> Milling Complex if NTA cannot identify the source of income that can sustain the maintenance expenses of the project;</w:t>
      </w:r>
    </w:p>
    <w:p w:rsidR="00F4420D" w:rsidRPr="00F4420D" w:rsidRDefault="00F4420D" w:rsidP="00F4420D">
      <w:pPr>
        <w:pStyle w:val="ListParagraph"/>
        <w:tabs>
          <w:tab w:val="left" w:pos="1260"/>
        </w:tabs>
        <w:spacing w:after="0" w:afterAutospacing="0"/>
        <w:ind w:left="709" w:right="90"/>
        <w:jc w:val="both"/>
        <w:rPr>
          <w:rFonts w:ascii="Arial" w:hAnsi="Arial" w:cs="Arial"/>
        </w:rPr>
      </w:pPr>
    </w:p>
    <w:p w:rsidR="00F4420D" w:rsidRPr="00F4420D" w:rsidRDefault="00F4420D" w:rsidP="00F4420D">
      <w:pPr>
        <w:pStyle w:val="ListParagraph"/>
        <w:numPr>
          <w:ilvl w:val="1"/>
          <w:numId w:val="21"/>
        </w:numPr>
        <w:tabs>
          <w:tab w:val="left" w:pos="1260"/>
        </w:tabs>
        <w:spacing w:after="0" w:afterAutospacing="0"/>
        <w:ind w:left="709" w:firstLine="0"/>
        <w:jc w:val="both"/>
        <w:rPr>
          <w:rFonts w:ascii="Arial" w:hAnsi="Arial" w:cs="Arial"/>
        </w:rPr>
      </w:pPr>
      <w:r w:rsidRPr="00F4420D">
        <w:rPr>
          <w:rFonts w:ascii="Arial" w:hAnsi="Arial" w:cs="Arial"/>
        </w:rPr>
        <w:t>Conduct machine testing to reassess the performance of machineries and equipment;</w:t>
      </w:r>
    </w:p>
    <w:p w:rsidR="00F4420D" w:rsidRPr="00F4420D" w:rsidRDefault="00F4420D" w:rsidP="00F4420D">
      <w:pPr>
        <w:pStyle w:val="ListParagraph"/>
        <w:tabs>
          <w:tab w:val="left" w:pos="1260"/>
        </w:tabs>
        <w:spacing w:after="0" w:afterAutospacing="0"/>
        <w:rPr>
          <w:rFonts w:ascii="Arial" w:hAnsi="Arial" w:cs="Arial"/>
        </w:rPr>
      </w:pPr>
    </w:p>
    <w:p w:rsidR="00F4420D" w:rsidRPr="00F4420D" w:rsidRDefault="00F4420D" w:rsidP="00F4420D">
      <w:pPr>
        <w:pStyle w:val="ListParagraph"/>
        <w:numPr>
          <w:ilvl w:val="1"/>
          <w:numId w:val="21"/>
        </w:numPr>
        <w:tabs>
          <w:tab w:val="left" w:pos="1260"/>
        </w:tabs>
        <w:spacing w:after="0" w:afterAutospacing="0"/>
        <w:ind w:left="709" w:firstLine="0"/>
        <w:jc w:val="both"/>
        <w:rPr>
          <w:rFonts w:ascii="Arial" w:hAnsi="Arial" w:cs="Arial"/>
        </w:rPr>
      </w:pPr>
      <w:r w:rsidRPr="00F4420D">
        <w:rPr>
          <w:rFonts w:ascii="Arial" w:hAnsi="Arial" w:cs="Arial"/>
        </w:rPr>
        <w:lastRenderedPageBreak/>
        <w:t>Engage the services of a licensed appraiser to determine the current value of the machineries and equipment and be able to assess possible impairment loss; and</w:t>
      </w:r>
    </w:p>
    <w:p w:rsidR="00F4420D" w:rsidRPr="00F4420D" w:rsidRDefault="00F4420D" w:rsidP="00F4420D">
      <w:pPr>
        <w:pStyle w:val="ListParagraph"/>
        <w:tabs>
          <w:tab w:val="left" w:pos="1260"/>
        </w:tabs>
        <w:spacing w:after="0" w:afterAutospacing="0"/>
        <w:rPr>
          <w:rFonts w:ascii="Arial" w:hAnsi="Arial" w:cs="Arial"/>
        </w:rPr>
      </w:pPr>
    </w:p>
    <w:p w:rsidR="00F4420D" w:rsidRPr="00F4420D" w:rsidRDefault="00F4420D" w:rsidP="00F4420D">
      <w:pPr>
        <w:pStyle w:val="ListParagraph"/>
        <w:numPr>
          <w:ilvl w:val="1"/>
          <w:numId w:val="21"/>
        </w:numPr>
        <w:tabs>
          <w:tab w:val="left" w:pos="1260"/>
        </w:tabs>
        <w:spacing w:after="0" w:afterAutospacing="0"/>
        <w:ind w:left="709" w:firstLine="0"/>
        <w:jc w:val="both"/>
        <w:rPr>
          <w:rFonts w:ascii="Arial" w:hAnsi="Arial" w:cs="Arial"/>
        </w:rPr>
      </w:pPr>
      <w:r w:rsidRPr="00F4420D">
        <w:rPr>
          <w:rFonts w:ascii="Arial" w:hAnsi="Arial" w:cs="Arial"/>
        </w:rPr>
        <w:t>Formulate a proper action plan on how to manage or utilize the assets of the milling complex with the end in view of reducing the loss and expense of the government.</w:t>
      </w:r>
    </w:p>
    <w:p w:rsidR="004025BC" w:rsidRPr="00F4420D" w:rsidRDefault="004025BC" w:rsidP="00F4420D">
      <w:pPr>
        <w:pStyle w:val="ListParagraph"/>
        <w:spacing w:after="0" w:afterAutospacing="0"/>
        <w:ind w:left="0"/>
        <w:contextualSpacing w:val="0"/>
        <w:jc w:val="both"/>
        <w:rPr>
          <w:rFonts w:ascii="Arial" w:hAnsi="Arial" w:cs="Arial"/>
        </w:rPr>
      </w:pPr>
    </w:p>
    <w:p w:rsidR="00F4420D" w:rsidRDefault="00F4420D" w:rsidP="00F4420D">
      <w:pPr>
        <w:pStyle w:val="ListParagraph"/>
        <w:numPr>
          <w:ilvl w:val="1"/>
          <w:numId w:val="11"/>
        </w:numPr>
        <w:tabs>
          <w:tab w:val="left" w:pos="720"/>
        </w:tabs>
        <w:spacing w:after="0" w:afterAutospacing="0"/>
        <w:ind w:left="0" w:firstLine="0"/>
        <w:jc w:val="both"/>
        <w:rPr>
          <w:rFonts w:ascii="Arial" w:hAnsi="Arial" w:cs="Arial"/>
        </w:rPr>
      </w:pPr>
      <w:r w:rsidRPr="00F4420D">
        <w:rPr>
          <w:rFonts w:ascii="Arial" w:hAnsi="Arial" w:cs="Arial"/>
        </w:rPr>
        <w:t>We, likewise, further recommended that Management prepare a three to five year- term plan that will lay down the actions to be taken, procedures and requirements, estimated expenses and projected cash flow statement showing the net cash to be generated as a result of choosing an option.</w:t>
      </w:r>
    </w:p>
    <w:p w:rsidR="00C71C88" w:rsidRDefault="00C71C88" w:rsidP="00C71C88">
      <w:pPr>
        <w:pStyle w:val="ListParagraph"/>
        <w:tabs>
          <w:tab w:val="left" w:pos="720"/>
        </w:tabs>
        <w:spacing w:after="0" w:afterAutospacing="0"/>
        <w:ind w:left="0"/>
        <w:jc w:val="both"/>
        <w:rPr>
          <w:rFonts w:ascii="Arial" w:hAnsi="Arial" w:cs="Arial"/>
        </w:rPr>
      </w:pPr>
    </w:p>
    <w:p w:rsidR="00C71C88" w:rsidRPr="00F4420D" w:rsidRDefault="00C71C88" w:rsidP="00C71C88">
      <w:pPr>
        <w:pStyle w:val="ListParagraph"/>
        <w:tabs>
          <w:tab w:val="left" w:pos="720"/>
        </w:tabs>
        <w:spacing w:after="0" w:afterAutospacing="0"/>
        <w:ind w:left="0"/>
        <w:jc w:val="both"/>
        <w:rPr>
          <w:rFonts w:ascii="Arial" w:hAnsi="Arial" w:cs="Arial"/>
        </w:rPr>
      </w:pPr>
    </w:p>
    <w:p w:rsidR="001E7F7E" w:rsidRPr="003E31E0" w:rsidRDefault="00B4582A" w:rsidP="007D6526">
      <w:pPr>
        <w:pStyle w:val="ListParagraph"/>
        <w:spacing w:after="0" w:afterAutospacing="0"/>
        <w:ind w:left="0"/>
        <w:contextualSpacing w:val="0"/>
        <w:jc w:val="both"/>
        <w:rPr>
          <w:rFonts w:ascii="Arial" w:hAnsi="Arial" w:cs="Arial"/>
          <w:b/>
        </w:rPr>
      </w:pPr>
      <w:r w:rsidRPr="003E31E0">
        <w:rPr>
          <w:rFonts w:ascii="Arial" w:hAnsi="Arial" w:cs="Arial"/>
          <w:b/>
        </w:rPr>
        <w:t xml:space="preserve">AUDIT </w:t>
      </w:r>
      <w:r w:rsidR="001E7F7E" w:rsidRPr="003E31E0">
        <w:rPr>
          <w:rFonts w:ascii="Arial" w:hAnsi="Arial" w:cs="Arial"/>
          <w:b/>
        </w:rPr>
        <w:t>DISALLOWANCE</w:t>
      </w:r>
      <w:r w:rsidRPr="003E31E0">
        <w:rPr>
          <w:rFonts w:ascii="Arial" w:hAnsi="Arial" w:cs="Arial"/>
          <w:b/>
        </w:rPr>
        <w:t>S</w:t>
      </w:r>
      <w:r w:rsidR="001E7F7E" w:rsidRPr="003E31E0">
        <w:rPr>
          <w:rFonts w:ascii="Arial" w:hAnsi="Arial" w:cs="Arial"/>
          <w:b/>
        </w:rPr>
        <w:t>, CHARGES AND SUSPENSIONS</w:t>
      </w:r>
    </w:p>
    <w:p w:rsidR="000F2A3C" w:rsidRDefault="000F2A3C" w:rsidP="007D6526">
      <w:pPr>
        <w:pStyle w:val="ListParagraph"/>
        <w:spacing w:after="0" w:afterAutospacing="0"/>
        <w:ind w:left="0"/>
        <w:contextualSpacing w:val="0"/>
        <w:jc w:val="both"/>
        <w:rPr>
          <w:rFonts w:ascii="Arial" w:hAnsi="Arial" w:cs="Arial"/>
        </w:rPr>
      </w:pPr>
    </w:p>
    <w:p w:rsidR="004F4EB2" w:rsidRPr="004F4EB2" w:rsidRDefault="004F4EB2" w:rsidP="004F4EB2">
      <w:pPr>
        <w:pStyle w:val="ListParagraph"/>
        <w:tabs>
          <w:tab w:val="left" w:pos="720"/>
        </w:tabs>
        <w:ind w:left="0"/>
        <w:jc w:val="both"/>
        <w:rPr>
          <w:rFonts w:ascii="Arial" w:hAnsi="Arial" w:cs="Arial"/>
        </w:rPr>
      </w:pPr>
      <w:r w:rsidRPr="004F4EB2">
        <w:rPr>
          <w:rFonts w:ascii="Arial" w:hAnsi="Arial" w:cs="Arial"/>
        </w:rPr>
        <w:t>The unsettled audit disallowances</w:t>
      </w:r>
      <w:r>
        <w:rPr>
          <w:rFonts w:ascii="Arial" w:hAnsi="Arial" w:cs="Arial"/>
        </w:rPr>
        <w:t>,</w:t>
      </w:r>
      <w:r w:rsidRPr="004F4EB2">
        <w:rPr>
          <w:rFonts w:ascii="Arial" w:hAnsi="Arial" w:cs="Arial"/>
        </w:rPr>
        <w:t xml:space="preserve"> charges</w:t>
      </w:r>
      <w:r>
        <w:rPr>
          <w:rFonts w:ascii="Arial" w:hAnsi="Arial" w:cs="Arial"/>
        </w:rPr>
        <w:t xml:space="preserve"> and suspensions</w:t>
      </w:r>
      <w:r w:rsidRPr="004F4EB2">
        <w:rPr>
          <w:rFonts w:ascii="Arial" w:hAnsi="Arial" w:cs="Arial"/>
        </w:rPr>
        <w:t xml:space="preserve"> as of December 31, 2017 amounted to </w:t>
      </w:r>
      <w:r w:rsidR="00B77A95">
        <w:rPr>
          <w:rFonts w:ascii="Arial" w:hAnsi="Arial" w:cs="Arial"/>
        </w:rPr>
        <w:t>P34.499</w:t>
      </w:r>
      <w:r w:rsidRPr="004F4EB2">
        <w:rPr>
          <w:rFonts w:ascii="Arial" w:hAnsi="Arial" w:cs="Arial"/>
        </w:rPr>
        <w:t xml:space="preserve"> million</w:t>
      </w:r>
      <w:r>
        <w:rPr>
          <w:rFonts w:ascii="Arial" w:hAnsi="Arial" w:cs="Arial"/>
        </w:rPr>
        <w:t xml:space="preserve">, </w:t>
      </w:r>
      <w:r w:rsidR="00B77A95">
        <w:rPr>
          <w:rFonts w:ascii="Arial" w:hAnsi="Arial" w:cs="Arial"/>
        </w:rPr>
        <w:t>P60,280</w:t>
      </w:r>
      <w:r w:rsidRPr="004F4EB2">
        <w:rPr>
          <w:rFonts w:ascii="Arial" w:hAnsi="Arial" w:cs="Arial"/>
        </w:rPr>
        <w:t xml:space="preserve"> and P</w:t>
      </w:r>
      <w:r w:rsidR="00B77A95">
        <w:rPr>
          <w:rFonts w:ascii="Arial" w:hAnsi="Arial" w:cs="Arial"/>
        </w:rPr>
        <w:t>397.474</w:t>
      </w:r>
      <w:r w:rsidRPr="004F4EB2">
        <w:rPr>
          <w:rFonts w:ascii="Arial" w:hAnsi="Arial" w:cs="Arial"/>
        </w:rPr>
        <w:t xml:space="preserve"> million, respectively. The details and status of the unsettled disallowances</w:t>
      </w:r>
      <w:r>
        <w:rPr>
          <w:rFonts w:ascii="Arial" w:hAnsi="Arial" w:cs="Arial"/>
        </w:rPr>
        <w:t>,</w:t>
      </w:r>
      <w:r w:rsidRPr="004F4EB2">
        <w:rPr>
          <w:rFonts w:ascii="Arial" w:hAnsi="Arial" w:cs="Arial"/>
        </w:rPr>
        <w:t xml:space="preserve"> charges</w:t>
      </w:r>
      <w:r>
        <w:rPr>
          <w:rFonts w:ascii="Arial" w:hAnsi="Arial" w:cs="Arial"/>
        </w:rPr>
        <w:t xml:space="preserve"> and suspensions</w:t>
      </w:r>
      <w:r w:rsidRPr="004F4EB2">
        <w:rPr>
          <w:rFonts w:ascii="Arial" w:hAnsi="Arial" w:cs="Arial"/>
        </w:rPr>
        <w:t xml:space="preserve"> are presented in Annex </w:t>
      </w:r>
      <w:r>
        <w:rPr>
          <w:rFonts w:ascii="Arial" w:hAnsi="Arial" w:cs="Arial"/>
        </w:rPr>
        <w:t>C</w:t>
      </w:r>
      <w:r w:rsidRPr="004F4EB2">
        <w:rPr>
          <w:rFonts w:ascii="Arial" w:hAnsi="Arial" w:cs="Arial"/>
        </w:rPr>
        <w:t xml:space="preserve"> of this Report.</w:t>
      </w:r>
    </w:p>
    <w:p w:rsidR="004F4EB2" w:rsidRPr="003E31E0" w:rsidRDefault="004F4EB2" w:rsidP="007D6526">
      <w:pPr>
        <w:pStyle w:val="ListParagraph"/>
        <w:spacing w:after="0" w:afterAutospacing="0"/>
        <w:ind w:left="0"/>
        <w:contextualSpacing w:val="0"/>
        <w:jc w:val="both"/>
        <w:rPr>
          <w:rFonts w:ascii="Arial" w:hAnsi="Arial" w:cs="Arial"/>
        </w:rPr>
      </w:pPr>
    </w:p>
    <w:p w:rsidR="004F4EB2" w:rsidRPr="003E31E0" w:rsidRDefault="004F4EB2" w:rsidP="007D6526">
      <w:pPr>
        <w:pStyle w:val="ListParagraph"/>
        <w:spacing w:after="0" w:afterAutospacing="0"/>
        <w:ind w:left="0"/>
        <w:contextualSpacing w:val="0"/>
        <w:jc w:val="both"/>
        <w:rPr>
          <w:rFonts w:ascii="Arial" w:hAnsi="Arial" w:cs="Arial"/>
        </w:rPr>
      </w:pPr>
    </w:p>
    <w:p w:rsidR="00EB458D" w:rsidRPr="003E31E0" w:rsidRDefault="00EB458D" w:rsidP="007D6526">
      <w:pPr>
        <w:pStyle w:val="ListParagraph"/>
        <w:spacing w:after="0" w:afterAutospacing="0"/>
        <w:ind w:left="0"/>
        <w:contextualSpacing w:val="0"/>
        <w:jc w:val="both"/>
        <w:rPr>
          <w:rFonts w:ascii="Arial" w:hAnsi="Arial" w:cs="Arial"/>
          <w:b/>
        </w:rPr>
      </w:pPr>
      <w:r w:rsidRPr="003E31E0">
        <w:rPr>
          <w:rFonts w:ascii="Arial" w:hAnsi="Arial" w:cs="Arial"/>
          <w:b/>
        </w:rPr>
        <w:t>STATUS OF IMPLEMENTATION BY THE AUDITEE OF PRIOR YEARS’ AUDIT RECOMMENDATIONS</w:t>
      </w:r>
    </w:p>
    <w:p w:rsidR="00554100" w:rsidRDefault="00554100" w:rsidP="007D6526">
      <w:pPr>
        <w:spacing w:after="0" w:line="240" w:lineRule="auto"/>
        <w:jc w:val="both"/>
        <w:rPr>
          <w:rFonts w:eastAsia="Calibri"/>
          <w:b/>
          <w:color w:val="auto"/>
        </w:rPr>
      </w:pPr>
    </w:p>
    <w:p w:rsidR="00574926" w:rsidRPr="007D2287" w:rsidRDefault="00554100" w:rsidP="007D6526">
      <w:pPr>
        <w:spacing w:after="0" w:line="240" w:lineRule="auto"/>
        <w:jc w:val="both"/>
        <w:rPr>
          <w:color w:val="000000"/>
          <w:sz w:val="23"/>
          <w:szCs w:val="23"/>
        </w:rPr>
      </w:pPr>
      <w:r w:rsidRPr="009111B7">
        <w:rPr>
          <w:color w:val="000000"/>
          <w:sz w:val="23"/>
          <w:szCs w:val="23"/>
        </w:rPr>
        <w:t>Out of the</w:t>
      </w:r>
      <w:r>
        <w:rPr>
          <w:color w:val="000000"/>
          <w:sz w:val="23"/>
          <w:szCs w:val="23"/>
        </w:rPr>
        <w:t xml:space="preserve"> 5</w:t>
      </w:r>
      <w:r w:rsidR="007D6526">
        <w:rPr>
          <w:color w:val="000000"/>
          <w:sz w:val="23"/>
          <w:szCs w:val="23"/>
        </w:rPr>
        <w:t>4</w:t>
      </w:r>
      <w:r w:rsidRPr="009111B7">
        <w:rPr>
          <w:color w:val="000000"/>
          <w:sz w:val="23"/>
          <w:szCs w:val="23"/>
        </w:rPr>
        <w:t xml:space="preserve"> audit recommendations embodied in the previous years’ Annual Audit Reports (AARs), </w:t>
      </w:r>
      <w:r>
        <w:rPr>
          <w:color w:val="000000"/>
          <w:sz w:val="23"/>
          <w:szCs w:val="23"/>
        </w:rPr>
        <w:t>2</w:t>
      </w:r>
      <w:r w:rsidR="004F4EB2">
        <w:rPr>
          <w:color w:val="000000"/>
          <w:sz w:val="23"/>
          <w:szCs w:val="23"/>
        </w:rPr>
        <w:t>3</w:t>
      </w:r>
      <w:r>
        <w:rPr>
          <w:color w:val="000000"/>
          <w:sz w:val="23"/>
          <w:szCs w:val="23"/>
        </w:rPr>
        <w:t xml:space="preserve"> </w:t>
      </w:r>
      <w:r w:rsidRPr="009111B7">
        <w:rPr>
          <w:color w:val="000000"/>
          <w:sz w:val="23"/>
          <w:szCs w:val="23"/>
        </w:rPr>
        <w:t>were fully implemented,</w:t>
      </w:r>
      <w:r>
        <w:rPr>
          <w:color w:val="000000"/>
          <w:sz w:val="23"/>
          <w:szCs w:val="23"/>
        </w:rPr>
        <w:t xml:space="preserve"> 2</w:t>
      </w:r>
      <w:r w:rsidR="007D6526">
        <w:rPr>
          <w:color w:val="000000"/>
          <w:sz w:val="23"/>
          <w:szCs w:val="23"/>
        </w:rPr>
        <w:t>4</w:t>
      </w:r>
      <w:r>
        <w:rPr>
          <w:color w:val="000000"/>
          <w:sz w:val="23"/>
          <w:szCs w:val="23"/>
        </w:rPr>
        <w:t xml:space="preserve"> </w:t>
      </w:r>
      <w:r w:rsidRPr="009111B7">
        <w:rPr>
          <w:color w:val="000000"/>
          <w:sz w:val="23"/>
          <w:szCs w:val="23"/>
        </w:rPr>
        <w:t xml:space="preserve">were partially implemented and </w:t>
      </w:r>
      <w:r w:rsidR="004F4EB2">
        <w:rPr>
          <w:color w:val="000000"/>
          <w:sz w:val="23"/>
          <w:szCs w:val="23"/>
        </w:rPr>
        <w:t>7</w:t>
      </w:r>
      <w:r>
        <w:rPr>
          <w:color w:val="000000"/>
          <w:sz w:val="23"/>
          <w:szCs w:val="23"/>
        </w:rPr>
        <w:t xml:space="preserve"> </w:t>
      </w:r>
      <w:r w:rsidRPr="009111B7">
        <w:rPr>
          <w:color w:val="000000"/>
          <w:sz w:val="23"/>
          <w:szCs w:val="23"/>
        </w:rPr>
        <w:t>were not implemented.</w:t>
      </w:r>
    </w:p>
    <w:sectPr w:rsidR="00574926" w:rsidRPr="007D2287" w:rsidSect="00BC4B8C">
      <w:footerReference w:type="default" r:id="rId8"/>
      <w:pgSz w:w="12240" w:h="15840" w:code="1"/>
      <w:pgMar w:top="1440" w:right="1440" w:bottom="1440" w:left="1440" w:header="720" w:footer="720" w:gutter="720"/>
      <w:pgNumType w:fmt="lowerRoman"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1597" w:rsidRDefault="00F11597" w:rsidP="003E31E0">
      <w:pPr>
        <w:spacing w:after="0" w:line="240" w:lineRule="auto"/>
      </w:pPr>
      <w:r>
        <w:separator/>
      </w:r>
    </w:p>
  </w:endnote>
  <w:endnote w:type="continuationSeparator" w:id="0">
    <w:p w:rsidR="00F11597" w:rsidRDefault="00F11597" w:rsidP="003E31E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23745"/>
      <w:docPartObj>
        <w:docPartGallery w:val="Page Numbers (Bottom of Page)"/>
        <w:docPartUnique/>
      </w:docPartObj>
    </w:sdtPr>
    <w:sdtEndPr>
      <w:rPr>
        <w:color w:val="000000" w:themeColor="text1"/>
      </w:rPr>
    </w:sdtEndPr>
    <w:sdtContent>
      <w:p w:rsidR="003E31E0" w:rsidRPr="00FE4221" w:rsidRDefault="00430A2E">
        <w:pPr>
          <w:pStyle w:val="Footer"/>
          <w:jc w:val="right"/>
          <w:rPr>
            <w:color w:val="000000" w:themeColor="text1"/>
          </w:rPr>
        </w:pPr>
        <w:r w:rsidRPr="00FE4221">
          <w:rPr>
            <w:color w:val="000000" w:themeColor="text1"/>
          </w:rPr>
          <w:fldChar w:fldCharType="begin"/>
        </w:r>
        <w:r w:rsidR="00461A0F" w:rsidRPr="00FE4221">
          <w:rPr>
            <w:color w:val="000000" w:themeColor="text1"/>
          </w:rPr>
          <w:instrText xml:space="preserve"> PAGE   \* MERGEFORMAT </w:instrText>
        </w:r>
        <w:r w:rsidRPr="00FE4221">
          <w:rPr>
            <w:color w:val="000000" w:themeColor="text1"/>
          </w:rPr>
          <w:fldChar w:fldCharType="separate"/>
        </w:r>
        <w:r w:rsidR="000708B3">
          <w:rPr>
            <w:noProof/>
            <w:color w:val="000000" w:themeColor="text1"/>
          </w:rPr>
          <w:t>vi</w:t>
        </w:r>
        <w:r w:rsidRPr="00FE4221">
          <w:rPr>
            <w:color w:val="000000" w:themeColor="text1"/>
          </w:rPr>
          <w:fldChar w:fldCharType="end"/>
        </w:r>
      </w:p>
    </w:sdtContent>
  </w:sdt>
  <w:p w:rsidR="003E31E0" w:rsidRDefault="003E31E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1597" w:rsidRDefault="00F11597" w:rsidP="003E31E0">
      <w:pPr>
        <w:spacing w:after="0" w:line="240" w:lineRule="auto"/>
      </w:pPr>
      <w:r>
        <w:separator/>
      </w:r>
    </w:p>
  </w:footnote>
  <w:footnote w:type="continuationSeparator" w:id="0">
    <w:p w:rsidR="00F11597" w:rsidRDefault="00F11597" w:rsidP="003E31E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36026"/>
    <w:multiLevelType w:val="multilevel"/>
    <w:tmpl w:val="93C0C9A4"/>
    <w:lvl w:ilvl="0">
      <w:start w:val="2"/>
      <w:numFmt w:val="decimal"/>
      <w:lvlText w:val="%1"/>
      <w:lvlJc w:val="left"/>
      <w:pPr>
        <w:ind w:left="360" w:hanging="360"/>
      </w:pPr>
      <w:rPr>
        <w:rFonts w:hint="default"/>
      </w:rPr>
    </w:lvl>
    <w:lvl w:ilvl="1">
      <w:start w:val="1"/>
      <w:numFmt w:val="decimal"/>
      <w:lvlText w:val="%1.%2"/>
      <w:lvlJc w:val="left"/>
      <w:pPr>
        <w:ind w:left="1710" w:hanging="360"/>
      </w:pPr>
      <w:rPr>
        <w:rFonts w:hint="default"/>
      </w:rPr>
    </w:lvl>
    <w:lvl w:ilvl="2">
      <w:start w:val="1"/>
      <w:numFmt w:val="decimal"/>
      <w:lvlText w:val="%1.%2.%3"/>
      <w:lvlJc w:val="left"/>
      <w:pPr>
        <w:ind w:left="3420" w:hanging="720"/>
      </w:pPr>
      <w:rPr>
        <w:rFonts w:hint="default"/>
      </w:rPr>
    </w:lvl>
    <w:lvl w:ilvl="3">
      <w:start w:val="1"/>
      <w:numFmt w:val="decimal"/>
      <w:lvlText w:val="%1.%2.%3.%4"/>
      <w:lvlJc w:val="left"/>
      <w:pPr>
        <w:ind w:left="4770" w:hanging="720"/>
      </w:pPr>
      <w:rPr>
        <w:rFonts w:hint="default"/>
      </w:rPr>
    </w:lvl>
    <w:lvl w:ilvl="4">
      <w:start w:val="1"/>
      <w:numFmt w:val="decimal"/>
      <w:lvlText w:val="%1.%2.%3.%4.%5"/>
      <w:lvlJc w:val="left"/>
      <w:pPr>
        <w:ind w:left="6480" w:hanging="1080"/>
      </w:pPr>
      <w:rPr>
        <w:rFonts w:hint="default"/>
      </w:rPr>
    </w:lvl>
    <w:lvl w:ilvl="5">
      <w:start w:val="1"/>
      <w:numFmt w:val="decimal"/>
      <w:lvlText w:val="%1.%2.%3.%4.%5.%6"/>
      <w:lvlJc w:val="left"/>
      <w:pPr>
        <w:ind w:left="7830" w:hanging="1080"/>
      </w:pPr>
      <w:rPr>
        <w:rFonts w:hint="default"/>
      </w:rPr>
    </w:lvl>
    <w:lvl w:ilvl="6">
      <w:start w:val="1"/>
      <w:numFmt w:val="decimal"/>
      <w:lvlText w:val="%1.%2.%3.%4.%5.%6.%7"/>
      <w:lvlJc w:val="left"/>
      <w:pPr>
        <w:ind w:left="9540" w:hanging="1440"/>
      </w:pPr>
      <w:rPr>
        <w:rFonts w:hint="default"/>
      </w:rPr>
    </w:lvl>
    <w:lvl w:ilvl="7">
      <w:start w:val="1"/>
      <w:numFmt w:val="decimal"/>
      <w:lvlText w:val="%1.%2.%3.%4.%5.%6.%7.%8"/>
      <w:lvlJc w:val="left"/>
      <w:pPr>
        <w:ind w:left="10890" w:hanging="1440"/>
      </w:pPr>
      <w:rPr>
        <w:rFonts w:hint="default"/>
      </w:rPr>
    </w:lvl>
    <w:lvl w:ilvl="8">
      <w:start w:val="1"/>
      <w:numFmt w:val="decimal"/>
      <w:lvlText w:val="%1.%2.%3.%4.%5.%6.%7.%8.%9"/>
      <w:lvlJc w:val="left"/>
      <w:pPr>
        <w:ind w:left="12600" w:hanging="1800"/>
      </w:pPr>
      <w:rPr>
        <w:rFonts w:hint="default"/>
      </w:rPr>
    </w:lvl>
  </w:abstractNum>
  <w:abstractNum w:abstractNumId="1">
    <w:nsid w:val="021A4B9E"/>
    <w:multiLevelType w:val="multilevel"/>
    <w:tmpl w:val="0518AD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605E86"/>
    <w:multiLevelType w:val="multilevel"/>
    <w:tmpl w:val="39888B34"/>
    <w:lvl w:ilvl="0">
      <w:start w:val="1"/>
      <w:numFmt w:val="decimal"/>
      <w:lvlText w:val="%1."/>
      <w:lvlJc w:val="left"/>
      <w:pPr>
        <w:ind w:left="720" w:hanging="360"/>
      </w:pPr>
      <w:rPr>
        <w:rFonts w:ascii="Arial" w:hAnsi="Arial" w:cs="Arial" w:hint="default"/>
        <w:b/>
        <w:i w:val="0"/>
        <w:color w:val="000000" w:themeColor="text1"/>
      </w:rPr>
    </w:lvl>
    <w:lvl w:ilvl="1">
      <w:start w:val="1"/>
      <w:numFmt w:val="decimal"/>
      <w:isLgl/>
      <w:lvlText w:val="%1.%2"/>
      <w:lvlJc w:val="left"/>
      <w:pPr>
        <w:ind w:left="735" w:hanging="375"/>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07196CC4"/>
    <w:multiLevelType w:val="multilevel"/>
    <w:tmpl w:val="C04EE970"/>
    <w:lvl w:ilvl="0">
      <w:start w:val="1"/>
      <w:numFmt w:val="lowerLett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E131067"/>
    <w:multiLevelType w:val="multilevel"/>
    <w:tmpl w:val="3409001F"/>
    <w:lvl w:ilvl="0">
      <w:start w:val="1"/>
      <w:numFmt w:val="decimal"/>
      <w:lvlText w:val="%1"/>
      <w:lvlJc w:val="left"/>
      <w:pPr>
        <w:ind w:left="360" w:hanging="360"/>
      </w:pPr>
      <w:rPr>
        <w:rFonts w:ascii="Times New Roman" w:hAnsi="Times New Roman" w:hint="default"/>
        <w:color w:val="auto"/>
      </w:rPr>
    </w:lvl>
    <w:lvl w:ilvl="1">
      <w:start w:val="1"/>
      <w:numFmt w:val="decimal"/>
      <w:lvlText w:val="%1.%2."/>
      <w:lvlJc w:val="left"/>
      <w:pPr>
        <w:ind w:left="792" w:hanging="432"/>
      </w:pPr>
      <w:rPr>
        <w:rFonts w:hint="default"/>
        <w:b w:val="0"/>
        <w:i w:val="0"/>
        <w:color w:val="auto"/>
      </w:rPr>
    </w:lvl>
    <w:lvl w:ilvl="2">
      <w:start w:val="1"/>
      <w:numFmt w:val="lowerLetter"/>
      <w:lvlText w:val="%1.%2.%3."/>
      <w:lvlJc w:val="left"/>
      <w:pPr>
        <w:ind w:left="1224" w:hanging="504"/>
      </w:pPr>
      <w:rPr>
        <w:rFonts w:hint="default"/>
        <w:b/>
        <w:color w:val="7030A0"/>
      </w:rPr>
    </w:lvl>
    <w:lvl w:ilvl="3">
      <w:start w:val="1"/>
      <w:numFmt w:val="decimal"/>
      <w:lvlText w:val="%1.%2.%3.%4."/>
      <w:lvlJc w:val="left"/>
      <w:pPr>
        <w:ind w:left="1728" w:hanging="648"/>
      </w:pPr>
      <w:rPr>
        <w:rFonts w:hint="default"/>
        <w:b/>
        <w:color w:val="7030A0"/>
      </w:rPr>
    </w:lvl>
    <w:lvl w:ilvl="4">
      <w:start w:val="1"/>
      <w:numFmt w:val="decimal"/>
      <w:lvlText w:val="%1.%2.%3.%4.%5."/>
      <w:lvlJc w:val="left"/>
      <w:pPr>
        <w:ind w:left="2232" w:hanging="792"/>
      </w:pPr>
      <w:rPr>
        <w:rFonts w:hint="default"/>
        <w:b/>
        <w:color w:val="7030A0"/>
      </w:rPr>
    </w:lvl>
    <w:lvl w:ilvl="5">
      <w:start w:val="1"/>
      <w:numFmt w:val="decimal"/>
      <w:lvlText w:val="%1.%2.%3.%4.%5.%6."/>
      <w:lvlJc w:val="left"/>
      <w:pPr>
        <w:ind w:left="2736" w:hanging="936"/>
      </w:pPr>
      <w:rPr>
        <w:rFonts w:hint="default"/>
        <w:b/>
        <w:color w:val="7030A0"/>
      </w:rPr>
    </w:lvl>
    <w:lvl w:ilvl="6">
      <w:start w:val="1"/>
      <w:numFmt w:val="decimal"/>
      <w:lvlText w:val="%1.%2.%3.%4.%5.%6.%7."/>
      <w:lvlJc w:val="left"/>
      <w:pPr>
        <w:ind w:left="3240" w:hanging="1080"/>
      </w:pPr>
      <w:rPr>
        <w:rFonts w:hint="default"/>
        <w:b/>
        <w:color w:val="7030A0"/>
      </w:rPr>
    </w:lvl>
    <w:lvl w:ilvl="7">
      <w:start w:val="1"/>
      <w:numFmt w:val="decimal"/>
      <w:lvlText w:val="%1.%2.%3.%4.%5.%6.%7.%8."/>
      <w:lvlJc w:val="left"/>
      <w:pPr>
        <w:ind w:left="3744" w:hanging="1224"/>
      </w:pPr>
      <w:rPr>
        <w:rFonts w:hint="default"/>
        <w:b/>
        <w:color w:val="7030A0"/>
      </w:rPr>
    </w:lvl>
    <w:lvl w:ilvl="8">
      <w:start w:val="1"/>
      <w:numFmt w:val="decimal"/>
      <w:lvlText w:val="%1.%2.%3.%4.%5.%6.%7.%8.%9."/>
      <w:lvlJc w:val="left"/>
      <w:pPr>
        <w:ind w:left="4320" w:hanging="1440"/>
      </w:pPr>
      <w:rPr>
        <w:rFonts w:hint="default"/>
        <w:b/>
        <w:color w:val="7030A0"/>
      </w:rPr>
    </w:lvl>
  </w:abstractNum>
  <w:abstractNum w:abstractNumId="5">
    <w:nsid w:val="0E160F53"/>
    <w:multiLevelType w:val="multilevel"/>
    <w:tmpl w:val="3409001F"/>
    <w:numStyleLink w:val="Style1"/>
  </w:abstractNum>
  <w:abstractNum w:abstractNumId="6">
    <w:nsid w:val="11CC6830"/>
    <w:multiLevelType w:val="hybridMultilevel"/>
    <w:tmpl w:val="FC305F10"/>
    <w:lvl w:ilvl="0" w:tplc="34090019">
      <w:start w:val="1"/>
      <w:numFmt w:val="lowerLetter"/>
      <w:lvlText w:val="%1."/>
      <w:lvlJc w:val="left"/>
      <w:pPr>
        <w:ind w:left="1080" w:hanging="360"/>
      </w:pPr>
      <w:rPr>
        <w:rFonts w:hint="default"/>
        <w:sz w:val="22"/>
        <w:szCs w:val="22"/>
      </w:rPr>
    </w:lvl>
    <w:lvl w:ilvl="1" w:tplc="5BE82594">
      <w:start w:val="1"/>
      <w:numFmt w:val="lowerLetter"/>
      <w:lvlText w:val="%2."/>
      <w:lvlJc w:val="left"/>
      <w:pPr>
        <w:ind w:left="3905"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D587101"/>
    <w:multiLevelType w:val="multilevel"/>
    <w:tmpl w:val="C5F045F4"/>
    <w:lvl w:ilvl="0">
      <w:start w:val="3"/>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sz w:val="22"/>
        <w:szCs w:val="22"/>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8">
    <w:nsid w:val="22210B1D"/>
    <w:multiLevelType w:val="multilevel"/>
    <w:tmpl w:val="3409001F"/>
    <w:styleLink w:val="Style1"/>
    <w:lvl w:ilvl="0">
      <w:start w:val="1"/>
      <w:numFmt w:val="decimal"/>
      <w:lvlText w:val="%1"/>
      <w:lvlJc w:val="left"/>
      <w:pPr>
        <w:ind w:left="360" w:hanging="360"/>
      </w:pPr>
      <w:rPr>
        <w:rFonts w:ascii="Times New Roman" w:hAnsi="Times New Roman" w:hint="default"/>
        <w:color w:val="auto"/>
      </w:rPr>
    </w:lvl>
    <w:lvl w:ilvl="1">
      <w:start w:val="1"/>
      <w:numFmt w:val="decimal"/>
      <w:lvlText w:val="%1.%2."/>
      <w:lvlJc w:val="left"/>
      <w:pPr>
        <w:ind w:left="792" w:hanging="432"/>
      </w:pPr>
      <w:rPr>
        <w:rFonts w:hint="default"/>
        <w:b w:val="0"/>
        <w:i w:val="0"/>
      </w:rPr>
    </w:lvl>
    <w:lvl w:ilvl="2">
      <w:start w:val="1"/>
      <w:numFmt w:val="lowerLetter"/>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9">
    <w:nsid w:val="256F4D27"/>
    <w:multiLevelType w:val="hybridMultilevel"/>
    <w:tmpl w:val="FC3AE280"/>
    <w:lvl w:ilvl="0" w:tplc="0BD2F742">
      <w:start w:val="1"/>
      <w:numFmt w:val="lowerLetter"/>
      <w:lvlText w:val="%1."/>
      <w:lvlJc w:val="left"/>
      <w:pPr>
        <w:ind w:left="2698" w:hanging="360"/>
      </w:pPr>
      <w:rPr>
        <w:rFonts w:hint="default"/>
      </w:rPr>
    </w:lvl>
    <w:lvl w:ilvl="1" w:tplc="ED0CA720">
      <w:start w:val="1"/>
      <w:numFmt w:val="lowerLetter"/>
      <w:lvlText w:val="%2."/>
      <w:lvlJc w:val="left"/>
      <w:pPr>
        <w:ind w:left="1070" w:hanging="360"/>
      </w:pPr>
      <w:rPr>
        <w:b w:val="0"/>
        <w:color w:val="auto"/>
      </w:rPr>
    </w:lvl>
    <w:lvl w:ilvl="2" w:tplc="C1A466E2">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B593B8F"/>
    <w:multiLevelType w:val="multilevel"/>
    <w:tmpl w:val="7BD405F4"/>
    <w:lvl w:ilvl="0">
      <w:start w:val="4"/>
      <w:numFmt w:val="decimal"/>
      <w:lvlText w:val="%1."/>
      <w:lvlJc w:val="left"/>
      <w:pPr>
        <w:ind w:left="360" w:hanging="360"/>
      </w:pPr>
      <w:rPr>
        <w:rFonts w:ascii="Arial" w:hAnsi="Arial" w:cs="Arial" w:hint="default"/>
        <w:b w:val="0"/>
      </w:rPr>
    </w:lvl>
    <w:lvl w:ilvl="1">
      <w:start w:val="1"/>
      <w:numFmt w:val="decimal"/>
      <w:lvlText w:val="%1.%2"/>
      <w:lvlJc w:val="left"/>
      <w:pPr>
        <w:ind w:left="1080" w:hanging="360"/>
      </w:pPr>
      <w:rPr>
        <w:rFonts w:hint="default"/>
        <w:b w:val="0"/>
        <w:i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nsid w:val="2E62304F"/>
    <w:multiLevelType w:val="multilevel"/>
    <w:tmpl w:val="A984CE22"/>
    <w:lvl w:ilvl="0">
      <w:start w:val="1"/>
      <w:numFmt w:val="decimal"/>
      <w:lvlText w:val="%1."/>
      <w:lvlJc w:val="left"/>
      <w:pPr>
        <w:ind w:left="1440" w:hanging="360"/>
      </w:pPr>
      <w:rPr>
        <w:rFonts w:hint="default"/>
        <w:b/>
        <w:color w:val="auto"/>
        <w:sz w:val="22"/>
        <w:szCs w:val="22"/>
      </w:rPr>
    </w:lvl>
    <w:lvl w:ilvl="1">
      <w:start w:val="1"/>
      <w:numFmt w:val="decimal"/>
      <w:isLgl/>
      <w:lvlText w:val="%1.%2"/>
      <w:lvlJc w:val="left"/>
      <w:pPr>
        <w:ind w:left="1110" w:hanging="930"/>
      </w:pPr>
      <w:rPr>
        <w:rFonts w:hint="default"/>
        <w:b w:val="0"/>
        <w:i w:val="0"/>
        <w:color w:val="auto"/>
        <w:sz w:val="22"/>
        <w:szCs w:val="22"/>
      </w:rPr>
    </w:lvl>
    <w:lvl w:ilvl="2">
      <w:start w:val="1"/>
      <w:numFmt w:val="decimal"/>
      <w:isLgl/>
      <w:lvlText w:val="%1.%2.%3"/>
      <w:lvlJc w:val="left"/>
      <w:pPr>
        <w:ind w:left="3090" w:hanging="930"/>
      </w:pPr>
      <w:rPr>
        <w:rFonts w:hint="default"/>
        <w:b w:val="0"/>
      </w:rPr>
    </w:lvl>
    <w:lvl w:ilvl="3">
      <w:start w:val="1"/>
      <w:numFmt w:val="decimal"/>
      <w:isLgl/>
      <w:lvlText w:val="%1.%2.%3.%4"/>
      <w:lvlJc w:val="left"/>
      <w:pPr>
        <w:ind w:left="3090" w:hanging="93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600" w:hanging="1440"/>
      </w:pPr>
      <w:rPr>
        <w:rFonts w:hint="default"/>
      </w:rPr>
    </w:lvl>
    <w:lvl w:ilvl="8">
      <w:start w:val="1"/>
      <w:numFmt w:val="decimal"/>
      <w:isLgl/>
      <w:lvlText w:val="%1.%2.%3.%4.%5.%6.%7.%8.%9"/>
      <w:lvlJc w:val="left"/>
      <w:pPr>
        <w:ind w:left="3960" w:hanging="1800"/>
      </w:pPr>
      <w:rPr>
        <w:rFonts w:hint="default"/>
      </w:rPr>
    </w:lvl>
  </w:abstractNum>
  <w:abstractNum w:abstractNumId="12">
    <w:nsid w:val="2EA36BE3"/>
    <w:multiLevelType w:val="hybridMultilevel"/>
    <w:tmpl w:val="2B140606"/>
    <w:lvl w:ilvl="0" w:tplc="53C62D52">
      <w:start w:val="1"/>
      <w:numFmt w:val="lowerLetter"/>
      <w:lvlText w:val="%1."/>
      <w:lvlJc w:val="left"/>
      <w:pPr>
        <w:ind w:left="782" w:hanging="360"/>
      </w:pPr>
      <w:rPr>
        <w:b w:val="0"/>
        <w:color w:val="auto"/>
      </w:rPr>
    </w:lvl>
    <w:lvl w:ilvl="1" w:tplc="34090019" w:tentative="1">
      <w:start w:val="1"/>
      <w:numFmt w:val="lowerLetter"/>
      <w:lvlText w:val="%2."/>
      <w:lvlJc w:val="left"/>
      <w:pPr>
        <w:ind w:left="1502" w:hanging="360"/>
      </w:pPr>
    </w:lvl>
    <w:lvl w:ilvl="2" w:tplc="3409001B" w:tentative="1">
      <w:start w:val="1"/>
      <w:numFmt w:val="lowerRoman"/>
      <w:lvlText w:val="%3."/>
      <w:lvlJc w:val="right"/>
      <w:pPr>
        <w:ind w:left="2222" w:hanging="180"/>
      </w:pPr>
    </w:lvl>
    <w:lvl w:ilvl="3" w:tplc="3409000F" w:tentative="1">
      <w:start w:val="1"/>
      <w:numFmt w:val="decimal"/>
      <w:lvlText w:val="%4."/>
      <w:lvlJc w:val="left"/>
      <w:pPr>
        <w:ind w:left="2942" w:hanging="360"/>
      </w:pPr>
    </w:lvl>
    <w:lvl w:ilvl="4" w:tplc="34090019" w:tentative="1">
      <w:start w:val="1"/>
      <w:numFmt w:val="lowerLetter"/>
      <w:lvlText w:val="%5."/>
      <w:lvlJc w:val="left"/>
      <w:pPr>
        <w:ind w:left="3662" w:hanging="360"/>
      </w:pPr>
    </w:lvl>
    <w:lvl w:ilvl="5" w:tplc="3409001B" w:tentative="1">
      <w:start w:val="1"/>
      <w:numFmt w:val="lowerRoman"/>
      <w:lvlText w:val="%6."/>
      <w:lvlJc w:val="right"/>
      <w:pPr>
        <w:ind w:left="4382" w:hanging="180"/>
      </w:pPr>
    </w:lvl>
    <w:lvl w:ilvl="6" w:tplc="3409000F" w:tentative="1">
      <w:start w:val="1"/>
      <w:numFmt w:val="decimal"/>
      <w:lvlText w:val="%7."/>
      <w:lvlJc w:val="left"/>
      <w:pPr>
        <w:ind w:left="5102" w:hanging="360"/>
      </w:pPr>
    </w:lvl>
    <w:lvl w:ilvl="7" w:tplc="34090019" w:tentative="1">
      <w:start w:val="1"/>
      <w:numFmt w:val="lowerLetter"/>
      <w:lvlText w:val="%8."/>
      <w:lvlJc w:val="left"/>
      <w:pPr>
        <w:ind w:left="5822" w:hanging="360"/>
      </w:pPr>
    </w:lvl>
    <w:lvl w:ilvl="8" w:tplc="3409001B" w:tentative="1">
      <w:start w:val="1"/>
      <w:numFmt w:val="lowerRoman"/>
      <w:lvlText w:val="%9."/>
      <w:lvlJc w:val="right"/>
      <w:pPr>
        <w:ind w:left="6542" w:hanging="180"/>
      </w:pPr>
    </w:lvl>
  </w:abstractNum>
  <w:abstractNum w:abstractNumId="13">
    <w:nsid w:val="474600B6"/>
    <w:multiLevelType w:val="hybridMultilevel"/>
    <w:tmpl w:val="30709BA0"/>
    <w:lvl w:ilvl="0" w:tplc="E4925264">
      <w:start w:val="1"/>
      <w:numFmt w:val="lowerLetter"/>
      <w:lvlText w:val="%1."/>
      <w:lvlJc w:val="left"/>
      <w:pPr>
        <w:ind w:left="1080" w:hanging="360"/>
      </w:pPr>
      <w:rPr>
        <w:rFonts w:hint="default"/>
        <w:sz w:val="22"/>
        <w:szCs w:val="22"/>
      </w:r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4">
    <w:nsid w:val="48E2553C"/>
    <w:multiLevelType w:val="hybridMultilevel"/>
    <w:tmpl w:val="5B729A72"/>
    <w:lvl w:ilvl="0" w:tplc="34090019">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5">
    <w:nsid w:val="71DF36CF"/>
    <w:multiLevelType w:val="multilevel"/>
    <w:tmpl w:val="3409001F"/>
    <w:numStyleLink w:val="Style1"/>
  </w:abstractNum>
  <w:abstractNum w:abstractNumId="16">
    <w:nsid w:val="72CA7496"/>
    <w:multiLevelType w:val="multilevel"/>
    <w:tmpl w:val="3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17">
    <w:nsid w:val="74D42FF1"/>
    <w:multiLevelType w:val="multilevel"/>
    <w:tmpl w:val="5D1C6612"/>
    <w:lvl w:ilvl="0">
      <w:start w:val="1"/>
      <w:numFmt w:val="decimal"/>
      <w:lvlText w:val="%1."/>
      <w:lvlJc w:val="left"/>
      <w:pPr>
        <w:ind w:left="720" w:hanging="360"/>
      </w:pPr>
      <w:rPr>
        <w:b/>
      </w:rPr>
    </w:lvl>
    <w:lvl w:ilvl="1">
      <w:start w:val="1"/>
      <w:numFmt w:val="decimal"/>
      <w:isLgl/>
      <w:lvlText w:val="%1.%2"/>
      <w:lvlJc w:val="left"/>
      <w:pPr>
        <w:ind w:left="720" w:hanging="360"/>
      </w:pPr>
      <w:rPr>
        <w:rFonts w:ascii="Arial" w:hAnsi="Arial" w:cs="Arial" w:hint="default"/>
        <w:b w:val="0"/>
        <w:i w:val="0"/>
        <w:color w:val="000000" w:themeColor="text1"/>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76AE4A7A"/>
    <w:multiLevelType w:val="multilevel"/>
    <w:tmpl w:val="B61AB4D8"/>
    <w:lvl w:ilvl="0">
      <w:start w:val="1"/>
      <w:numFmt w:val="decimal"/>
      <w:lvlText w:val="%1."/>
      <w:lvlJc w:val="left"/>
      <w:pPr>
        <w:ind w:left="720" w:hanging="360"/>
      </w:pPr>
      <w:rPr>
        <w:rFonts w:hint="default"/>
        <w:b w:val="0"/>
        <w:i w:val="0"/>
      </w:rPr>
    </w:lvl>
    <w:lvl w:ilvl="1">
      <w:start w:val="1"/>
      <w:numFmt w:val="decimal"/>
      <w:isLgl/>
      <w:lvlText w:val="%1.%2"/>
      <w:lvlJc w:val="left"/>
      <w:pPr>
        <w:ind w:left="720" w:hanging="360"/>
      </w:pPr>
      <w:rPr>
        <w:rFonts w:ascii="Arial" w:hAnsi="Arial" w:cs="Arial"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77CA54E9"/>
    <w:multiLevelType w:val="hybridMultilevel"/>
    <w:tmpl w:val="F7982678"/>
    <w:lvl w:ilvl="0" w:tplc="C7CEC892">
      <w:start w:val="1"/>
      <w:numFmt w:val="decimal"/>
      <w:lvlText w:val="%1."/>
      <w:lvlJc w:val="left"/>
      <w:pPr>
        <w:ind w:left="720" w:hanging="360"/>
      </w:pPr>
      <w:rPr>
        <w:rFonts w:hint="default"/>
        <w:b w:val="0"/>
      </w:rPr>
    </w:lvl>
    <w:lvl w:ilvl="1" w:tplc="21D65ADE">
      <w:start w:val="1"/>
      <w:numFmt w:val="lowerLetter"/>
      <w:lvlText w:val="%2."/>
      <w:lvlJc w:val="left"/>
      <w:pPr>
        <w:ind w:left="1170" w:hanging="360"/>
      </w:pPr>
      <w:rPr>
        <w:b w:val="0"/>
      </w:rPr>
    </w:lvl>
    <w:lvl w:ilvl="2" w:tplc="34090019">
      <w:start w:val="1"/>
      <w:numFmt w:val="lowerLetter"/>
      <w:lvlText w:val="%3."/>
      <w:lvlJc w:val="left"/>
      <w:pPr>
        <w:ind w:left="2160" w:hanging="180"/>
      </w:pPr>
    </w:lvl>
    <w:lvl w:ilvl="3" w:tplc="3409001B">
      <w:start w:val="1"/>
      <w:numFmt w:val="lowerRoman"/>
      <w:lvlText w:val="%4."/>
      <w:lvlJc w:val="righ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0">
    <w:nsid w:val="7CF46015"/>
    <w:multiLevelType w:val="multilevel"/>
    <w:tmpl w:val="366AFD30"/>
    <w:lvl w:ilvl="0">
      <w:start w:val="1"/>
      <w:numFmt w:val="decimal"/>
      <w:lvlText w:val="%1"/>
      <w:lvlJc w:val="left"/>
      <w:pPr>
        <w:ind w:left="360" w:hanging="360"/>
      </w:pPr>
      <w:rPr>
        <w:rFonts w:ascii="Arial" w:hAnsi="Arial" w:cs="Arial" w:hint="default"/>
        <w:color w:val="auto"/>
      </w:rPr>
    </w:lvl>
    <w:lvl w:ilvl="1">
      <w:start w:val="1"/>
      <w:numFmt w:val="decimal"/>
      <w:lvlText w:val="%1.%2."/>
      <w:lvlJc w:val="left"/>
      <w:pPr>
        <w:ind w:left="792" w:hanging="432"/>
      </w:pPr>
      <w:rPr>
        <w:rFonts w:hint="default"/>
        <w:b w:val="0"/>
        <w:i w:val="0"/>
      </w:rPr>
    </w:lvl>
    <w:lvl w:ilvl="2">
      <w:start w:val="1"/>
      <w:numFmt w:val="lowerLetter"/>
      <w:lvlText w:val="%1.%2.%3."/>
      <w:lvlJc w:val="left"/>
      <w:pPr>
        <w:ind w:left="1224" w:hanging="504"/>
      </w:pPr>
      <w:rPr>
        <w:rFonts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num w:numId="1">
    <w:abstractNumId w:val="16"/>
  </w:num>
  <w:num w:numId="2">
    <w:abstractNumId w:val="1"/>
  </w:num>
  <w:num w:numId="3">
    <w:abstractNumId w:val="0"/>
  </w:num>
  <w:num w:numId="4">
    <w:abstractNumId w:val="8"/>
  </w:num>
  <w:num w:numId="5">
    <w:abstractNumId w:val="15"/>
    <w:lvlOverride w:ilvl="0">
      <w:lvl w:ilvl="0">
        <w:numFmt w:val="decimal"/>
        <w:lvlText w:val=""/>
        <w:lvlJc w:val="left"/>
      </w:lvl>
    </w:lvlOverride>
    <w:lvlOverride w:ilvl="1">
      <w:lvl w:ilvl="1">
        <w:numFmt w:val="decimal"/>
        <w:lvlText w:val=""/>
        <w:lvlJc w:val="left"/>
      </w:lvl>
    </w:lvlOverride>
    <w:lvlOverride w:ilvl="2">
      <w:lvl w:ilvl="2">
        <w:start w:val="1"/>
        <w:numFmt w:val="lowerLetter"/>
        <w:lvlText w:val="%1.%2.%3."/>
        <w:lvlJc w:val="left"/>
        <w:pPr>
          <w:ind w:left="1224" w:hanging="504"/>
        </w:pPr>
        <w:rPr>
          <w:rFonts w:hint="default"/>
          <w:b w:val="0"/>
        </w:rPr>
      </w:lvl>
    </w:lvlOverride>
  </w:num>
  <w:num w:numId="6">
    <w:abstractNumId w:val="20"/>
  </w:num>
  <w:num w:numId="7">
    <w:abstractNumId w:val="7"/>
  </w:num>
  <w:num w:numId="8">
    <w:abstractNumId w:val="4"/>
  </w:num>
  <w:num w:numId="9">
    <w:abstractNumId w:val="5"/>
    <w:lvlOverride w:ilvl="0">
      <w:lvl w:ilvl="0">
        <w:numFmt w:val="decimal"/>
        <w:lvlText w:val=""/>
        <w:lvlJc w:val="left"/>
      </w:lvl>
    </w:lvlOverride>
    <w:lvlOverride w:ilvl="1">
      <w:lvl w:ilvl="1">
        <w:start w:val="1"/>
        <w:numFmt w:val="decimal"/>
        <w:lvlText w:val="%1.%2."/>
        <w:lvlJc w:val="left"/>
        <w:pPr>
          <w:ind w:left="792" w:hanging="432"/>
        </w:pPr>
        <w:rPr>
          <w:rFonts w:hint="default"/>
          <w:b w:val="0"/>
          <w:i w:val="0"/>
          <w:color w:val="auto"/>
        </w:rPr>
      </w:lvl>
    </w:lvlOverride>
  </w:num>
  <w:num w:numId="10">
    <w:abstractNumId w:val="10"/>
  </w:num>
  <w:num w:numId="11">
    <w:abstractNumId w:val="18"/>
  </w:num>
  <w:num w:numId="12">
    <w:abstractNumId w:val="11"/>
  </w:num>
  <w:num w:numId="13">
    <w:abstractNumId w:val="3"/>
  </w:num>
  <w:num w:numId="14">
    <w:abstractNumId w:val="14"/>
  </w:num>
  <w:num w:numId="15">
    <w:abstractNumId w:val="9"/>
  </w:num>
  <w:num w:numId="16">
    <w:abstractNumId w:val="12"/>
  </w:num>
  <w:num w:numId="17">
    <w:abstractNumId w:val="2"/>
  </w:num>
  <w:num w:numId="18">
    <w:abstractNumId w:val="13"/>
  </w:num>
  <w:num w:numId="19">
    <w:abstractNumId w:val="19"/>
  </w:num>
  <w:num w:numId="20">
    <w:abstractNumId w:val="17"/>
  </w:num>
  <w:num w:numId="21">
    <w:abstractNumId w:val="6"/>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20"/>
  <w:characterSpacingControl w:val="doNotCompress"/>
  <w:footnotePr>
    <w:footnote w:id="-1"/>
    <w:footnote w:id="0"/>
  </w:footnotePr>
  <w:endnotePr>
    <w:endnote w:id="-1"/>
    <w:endnote w:id="0"/>
  </w:endnotePr>
  <w:compat/>
  <w:rsids>
    <w:rsidRoot w:val="008C3363"/>
    <w:rsid w:val="0000045B"/>
    <w:rsid w:val="00000B18"/>
    <w:rsid w:val="00000E85"/>
    <w:rsid w:val="00000EB7"/>
    <w:rsid w:val="000012EE"/>
    <w:rsid w:val="0000154B"/>
    <w:rsid w:val="0000255B"/>
    <w:rsid w:val="0000288D"/>
    <w:rsid w:val="00002AEA"/>
    <w:rsid w:val="0000321D"/>
    <w:rsid w:val="0000343C"/>
    <w:rsid w:val="00003593"/>
    <w:rsid w:val="00004694"/>
    <w:rsid w:val="00004E32"/>
    <w:rsid w:val="00005B6B"/>
    <w:rsid w:val="00005D85"/>
    <w:rsid w:val="00006829"/>
    <w:rsid w:val="00006C8B"/>
    <w:rsid w:val="00006FA2"/>
    <w:rsid w:val="0000706F"/>
    <w:rsid w:val="00007462"/>
    <w:rsid w:val="000079BB"/>
    <w:rsid w:val="00007E76"/>
    <w:rsid w:val="0001034E"/>
    <w:rsid w:val="000103AE"/>
    <w:rsid w:val="00010E1C"/>
    <w:rsid w:val="00011EEC"/>
    <w:rsid w:val="00013059"/>
    <w:rsid w:val="0001518E"/>
    <w:rsid w:val="0001649C"/>
    <w:rsid w:val="00016642"/>
    <w:rsid w:val="00016F91"/>
    <w:rsid w:val="000171D1"/>
    <w:rsid w:val="000212A6"/>
    <w:rsid w:val="00021456"/>
    <w:rsid w:val="00021C4C"/>
    <w:rsid w:val="00021CA5"/>
    <w:rsid w:val="000221E5"/>
    <w:rsid w:val="0002237B"/>
    <w:rsid w:val="000243FA"/>
    <w:rsid w:val="000249A7"/>
    <w:rsid w:val="00024BC7"/>
    <w:rsid w:val="00024F0B"/>
    <w:rsid w:val="000252E6"/>
    <w:rsid w:val="00025664"/>
    <w:rsid w:val="000267A5"/>
    <w:rsid w:val="00026F4D"/>
    <w:rsid w:val="000271CA"/>
    <w:rsid w:val="0003010B"/>
    <w:rsid w:val="0003032F"/>
    <w:rsid w:val="000304B9"/>
    <w:rsid w:val="00030C85"/>
    <w:rsid w:val="000316A8"/>
    <w:rsid w:val="00031727"/>
    <w:rsid w:val="00032288"/>
    <w:rsid w:val="0003352B"/>
    <w:rsid w:val="00033D9A"/>
    <w:rsid w:val="00034722"/>
    <w:rsid w:val="00034BE4"/>
    <w:rsid w:val="00034C4E"/>
    <w:rsid w:val="00035410"/>
    <w:rsid w:val="00036032"/>
    <w:rsid w:val="000360DB"/>
    <w:rsid w:val="00036511"/>
    <w:rsid w:val="00036C83"/>
    <w:rsid w:val="00037535"/>
    <w:rsid w:val="00037691"/>
    <w:rsid w:val="00037813"/>
    <w:rsid w:val="000378F1"/>
    <w:rsid w:val="00037FFA"/>
    <w:rsid w:val="00041E0E"/>
    <w:rsid w:val="00042B23"/>
    <w:rsid w:val="0004390E"/>
    <w:rsid w:val="000443A1"/>
    <w:rsid w:val="00044979"/>
    <w:rsid w:val="00045C3A"/>
    <w:rsid w:val="00046B92"/>
    <w:rsid w:val="00046CAE"/>
    <w:rsid w:val="000471ED"/>
    <w:rsid w:val="00050512"/>
    <w:rsid w:val="000510FB"/>
    <w:rsid w:val="00052194"/>
    <w:rsid w:val="000522B3"/>
    <w:rsid w:val="00052576"/>
    <w:rsid w:val="00052AE3"/>
    <w:rsid w:val="00052FEF"/>
    <w:rsid w:val="00053283"/>
    <w:rsid w:val="00053531"/>
    <w:rsid w:val="000541D6"/>
    <w:rsid w:val="000542A6"/>
    <w:rsid w:val="00054A0C"/>
    <w:rsid w:val="00054BB5"/>
    <w:rsid w:val="000554AF"/>
    <w:rsid w:val="0005572F"/>
    <w:rsid w:val="00055D1B"/>
    <w:rsid w:val="00055EBE"/>
    <w:rsid w:val="0005650A"/>
    <w:rsid w:val="00056B55"/>
    <w:rsid w:val="00056EF2"/>
    <w:rsid w:val="00056FB1"/>
    <w:rsid w:val="00057917"/>
    <w:rsid w:val="00057EDE"/>
    <w:rsid w:val="00060605"/>
    <w:rsid w:val="0006065E"/>
    <w:rsid w:val="0006123A"/>
    <w:rsid w:val="0006191F"/>
    <w:rsid w:val="00061A43"/>
    <w:rsid w:val="00061C41"/>
    <w:rsid w:val="000622C8"/>
    <w:rsid w:val="00062ACC"/>
    <w:rsid w:val="00062E4A"/>
    <w:rsid w:val="00063A7D"/>
    <w:rsid w:val="00063C10"/>
    <w:rsid w:val="000643E4"/>
    <w:rsid w:val="00064412"/>
    <w:rsid w:val="00065505"/>
    <w:rsid w:val="000657E4"/>
    <w:rsid w:val="0006624C"/>
    <w:rsid w:val="00066816"/>
    <w:rsid w:val="000676A7"/>
    <w:rsid w:val="000677BC"/>
    <w:rsid w:val="0006786F"/>
    <w:rsid w:val="00067EF9"/>
    <w:rsid w:val="0007058D"/>
    <w:rsid w:val="000707B6"/>
    <w:rsid w:val="000708B3"/>
    <w:rsid w:val="0007132C"/>
    <w:rsid w:val="000725F5"/>
    <w:rsid w:val="00072EC4"/>
    <w:rsid w:val="00073607"/>
    <w:rsid w:val="00073D03"/>
    <w:rsid w:val="00074234"/>
    <w:rsid w:val="00075259"/>
    <w:rsid w:val="000755F7"/>
    <w:rsid w:val="00075DC0"/>
    <w:rsid w:val="0007778E"/>
    <w:rsid w:val="000800B1"/>
    <w:rsid w:val="00080B51"/>
    <w:rsid w:val="00081833"/>
    <w:rsid w:val="00081E1F"/>
    <w:rsid w:val="0008258C"/>
    <w:rsid w:val="00082FDF"/>
    <w:rsid w:val="00083082"/>
    <w:rsid w:val="00083D08"/>
    <w:rsid w:val="00083FBC"/>
    <w:rsid w:val="00084E85"/>
    <w:rsid w:val="000862C6"/>
    <w:rsid w:val="00087DDC"/>
    <w:rsid w:val="000900ED"/>
    <w:rsid w:val="000905CB"/>
    <w:rsid w:val="00090794"/>
    <w:rsid w:val="0009081C"/>
    <w:rsid w:val="000917E4"/>
    <w:rsid w:val="00091A0D"/>
    <w:rsid w:val="00091F9D"/>
    <w:rsid w:val="00092891"/>
    <w:rsid w:val="00093723"/>
    <w:rsid w:val="000949A1"/>
    <w:rsid w:val="00094D67"/>
    <w:rsid w:val="00095F80"/>
    <w:rsid w:val="00096207"/>
    <w:rsid w:val="00096B62"/>
    <w:rsid w:val="00096E09"/>
    <w:rsid w:val="00097A23"/>
    <w:rsid w:val="000A09C3"/>
    <w:rsid w:val="000A15BF"/>
    <w:rsid w:val="000A168A"/>
    <w:rsid w:val="000A2A27"/>
    <w:rsid w:val="000A31AC"/>
    <w:rsid w:val="000A40C5"/>
    <w:rsid w:val="000A4668"/>
    <w:rsid w:val="000A4963"/>
    <w:rsid w:val="000A5BA2"/>
    <w:rsid w:val="000A5FCC"/>
    <w:rsid w:val="000A6767"/>
    <w:rsid w:val="000A6D6D"/>
    <w:rsid w:val="000A7A30"/>
    <w:rsid w:val="000B008D"/>
    <w:rsid w:val="000B104A"/>
    <w:rsid w:val="000B3324"/>
    <w:rsid w:val="000B3EDE"/>
    <w:rsid w:val="000B4035"/>
    <w:rsid w:val="000B409A"/>
    <w:rsid w:val="000B41C4"/>
    <w:rsid w:val="000B4773"/>
    <w:rsid w:val="000B4BD6"/>
    <w:rsid w:val="000B5BED"/>
    <w:rsid w:val="000B6241"/>
    <w:rsid w:val="000B64CE"/>
    <w:rsid w:val="000B67C6"/>
    <w:rsid w:val="000B7301"/>
    <w:rsid w:val="000B73D2"/>
    <w:rsid w:val="000B76D7"/>
    <w:rsid w:val="000C0496"/>
    <w:rsid w:val="000C054B"/>
    <w:rsid w:val="000C12D0"/>
    <w:rsid w:val="000C1435"/>
    <w:rsid w:val="000C2461"/>
    <w:rsid w:val="000C27A3"/>
    <w:rsid w:val="000C2A7C"/>
    <w:rsid w:val="000C322A"/>
    <w:rsid w:val="000C3BBA"/>
    <w:rsid w:val="000C4085"/>
    <w:rsid w:val="000C41A6"/>
    <w:rsid w:val="000C49AD"/>
    <w:rsid w:val="000C5DEF"/>
    <w:rsid w:val="000C5E48"/>
    <w:rsid w:val="000C647E"/>
    <w:rsid w:val="000C6B75"/>
    <w:rsid w:val="000C6E60"/>
    <w:rsid w:val="000C7BAE"/>
    <w:rsid w:val="000C7E6E"/>
    <w:rsid w:val="000D28CA"/>
    <w:rsid w:val="000D2C23"/>
    <w:rsid w:val="000D3427"/>
    <w:rsid w:val="000D3A7D"/>
    <w:rsid w:val="000D40D3"/>
    <w:rsid w:val="000D477F"/>
    <w:rsid w:val="000D4C4A"/>
    <w:rsid w:val="000D4EE2"/>
    <w:rsid w:val="000D5827"/>
    <w:rsid w:val="000D5853"/>
    <w:rsid w:val="000D58D5"/>
    <w:rsid w:val="000D5ECA"/>
    <w:rsid w:val="000D641E"/>
    <w:rsid w:val="000D660E"/>
    <w:rsid w:val="000D6DB4"/>
    <w:rsid w:val="000D7048"/>
    <w:rsid w:val="000D707E"/>
    <w:rsid w:val="000D73C5"/>
    <w:rsid w:val="000E03C8"/>
    <w:rsid w:val="000E0B6F"/>
    <w:rsid w:val="000E0F0F"/>
    <w:rsid w:val="000E1979"/>
    <w:rsid w:val="000E25D6"/>
    <w:rsid w:val="000E2BA1"/>
    <w:rsid w:val="000E346E"/>
    <w:rsid w:val="000E38BC"/>
    <w:rsid w:val="000E3FCC"/>
    <w:rsid w:val="000E419E"/>
    <w:rsid w:val="000E4534"/>
    <w:rsid w:val="000E455E"/>
    <w:rsid w:val="000E4EB3"/>
    <w:rsid w:val="000E51AE"/>
    <w:rsid w:val="000E57FE"/>
    <w:rsid w:val="000E5E0B"/>
    <w:rsid w:val="000E5FA4"/>
    <w:rsid w:val="000E5FB4"/>
    <w:rsid w:val="000E639A"/>
    <w:rsid w:val="000E6435"/>
    <w:rsid w:val="000E67CC"/>
    <w:rsid w:val="000E6C4B"/>
    <w:rsid w:val="000E6D8F"/>
    <w:rsid w:val="000E7707"/>
    <w:rsid w:val="000F01F1"/>
    <w:rsid w:val="000F028C"/>
    <w:rsid w:val="000F06E4"/>
    <w:rsid w:val="000F1216"/>
    <w:rsid w:val="000F2A3C"/>
    <w:rsid w:val="000F32EC"/>
    <w:rsid w:val="000F331F"/>
    <w:rsid w:val="000F33AD"/>
    <w:rsid w:val="000F37E3"/>
    <w:rsid w:val="000F3D67"/>
    <w:rsid w:val="000F462E"/>
    <w:rsid w:val="000F5CC6"/>
    <w:rsid w:val="000F6A58"/>
    <w:rsid w:val="000F7158"/>
    <w:rsid w:val="000F7A1A"/>
    <w:rsid w:val="00100576"/>
    <w:rsid w:val="0010086A"/>
    <w:rsid w:val="0010154A"/>
    <w:rsid w:val="001016F5"/>
    <w:rsid w:val="00101C23"/>
    <w:rsid w:val="00102D45"/>
    <w:rsid w:val="00104F27"/>
    <w:rsid w:val="00105125"/>
    <w:rsid w:val="00105489"/>
    <w:rsid w:val="00106733"/>
    <w:rsid w:val="00106B41"/>
    <w:rsid w:val="00106E2B"/>
    <w:rsid w:val="001070D7"/>
    <w:rsid w:val="001072D7"/>
    <w:rsid w:val="001078AD"/>
    <w:rsid w:val="00107941"/>
    <w:rsid w:val="001133EA"/>
    <w:rsid w:val="00113D8A"/>
    <w:rsid w:val="00114184"/>
    <w:rsid w:val="00114D7B"/>
    <w:rsid w:val="00114DF2"/>
    <w:rsid w:val="00114E91"/>
    <w:rsid w:val="00114F1F"/>
    <w:rsid w:val="00116710"/>
    <w:rsid w:val="0011672B"/>
    <w:rsid w:val="001174EA"/>
    <w:rsid w:val="00117F14"/>
    <w:rsid w:val="00121491"/>
    <w:rsid w:val="00121680"/>
    <w:rsid w:val="001235EF"/>
    <w:rsid w:val="0012360A"/>
    <w:rsid w:val="00123844"/>
    <w:rsid w:val="00125729"/>
    <w:rsid w:val="00125C87"/>
    <w:rsid w:val="00125D11"/>
    <w:rsid w:val="001262E8"/>
    <w:rsid w:val="001271D7"/>
    <w:rsid w:val="00127DA8"/>
    <w:rsid w:val="0013090C"/>
    <w:rsid w:val="00131006"/>
    <w:rsid w:val="001327AD"/>
    <w:rsid w:val="001329FC"/>
    <w:rsid w:val="00132A5E"/>
    <w:rsid w:val="00132B7E"/>
    <w:rsid w:val="0013415B"/>
    <w:rsid w:val="00135B79"/>
    <w:rsid w:val="001364F6"/>
    <w:rsid w:val="0013791F"/>
    <w:rsid w:val="001379E0"/>
    <w:rsid w:val="00140EDE"/>
    <w:rsid w:val="00141339"/>
    <w:rsid w:val="001419C0"/>
    <w:rsid w:val="00141F58"/>
    <w:rsid w:val="001427E2"/>
    <w:rsid w:val="001436B6"/>
    <w:rsid w:val="0014375C"/>
    <w:rsid w:val="00143A81"/>
    <w:rsid w:val="00143BFF"/>
    <w:rsid w:val="001443D8"/>
    <w:rsid w:val="00144FBF"/>
    <w:rsid w:val="0014530E"/>
    <w:rsid w:val="00145E48"/>
    <w:rsid w:val="00146811"/>
    <w:rsid w:val="00146C46"/>
    <w:rsid w:val="001474EB"/>
    <w:rsid w:val="00150093"/>
    <w:rsid w:val="001503EB"/>
    <w:rsid w:val="00150CE0"/>
    <w:rsid w:val="00150FCD"/>
    <w:rsid w:val="00151744"/>
    <w:rsid w:val="001519CC"/>
    <w:rsid w:val="00151F03"/>
    <w:rsid w:val="0015285F"/>
    <w:rsid w:val="0015299A"/>
    <w:rsid w:val="0015343E"/>
    <w:rsid w:val="0015366D"/>
    <w:rsid w:val="00153B1D"/>
    <w:rsid w:val="0015653D"/>
    <w:rsid w:val="00156656"/>
    <w:rsid w:val="00156ACA"/>
    <w:rsid w:val="0015749F"/>
    <w:rsid w:val="00157C56"/>
    <w:rsid w:val="0016067D"/>
    <w:rsid w:val="0016178B"/>
    <w:rsid w:val="0016190C"/>
    <w:rsid w:val="00161C1D"/>
    <w:rsid w:val="00161D65"/>
    <w:rsid w:val="0016203E"/>
    <w:rsid w:val="001622AE"/>
    <w:rsid w:val="00162772"/>
    <w:rsid w:val="00162D3A"/>
    <w:rsid w:val="00163DBA"/>
    <w:rsid w:val="00163F61"/>
    <w:rsid w:val="001642B3"/>
    <w:rsid w:val="00164472"/>
    <w:rsid w:val="00166BE5"/>
    <w:rsid w:val="001671E8"/>
    <w:rsid w:val="00167201"/>
    <w:rsid w:val="0016747B"/>
    <w:rsid w:val="00167805"/>
    <w:rsid w:val="00170079"/>
    <w:rsid w:val="00170094"/>
    <w:rsid w:val="001702C8"/>
    <w:rsid w:val="00170589"/>
    <w:rsid w:val="00170C07"/>
    <w:rsid w:val="00170D53"/>
    <w:rsid w:val="0017204B"/>
    <w:rsid w:val="00172121"/>
    <w:rsid w:val="0017302B"/>
    <w:rsid w:val="00173998"/>
    <w:rsid w:val="0017405E"/>
    <w:rsid w:val="0017431A"/>
    <w:rsid w:val="00174577"/>
    <w:rsid w:val="00174782"/>
    <w:rsid w:val="001757DD"/>
    <w:rsid w:val="00175F24"/>
    <w:rsid w:val="00176AE2"/>
    <w:rsid w:val="00176DDF"/>
    <w:rsid w:val="00177393"/>
    <w:rsid w:val="00177A55"/>
    <w:rsid w:val="00177D38"/>
    <w:rsid w:val="00180FE0"/>
    <w:rsid w:val="00181516"/>
    <w:rsid w:val="001819CF"/>
    <w:rsid w:val="001820BE"/>
    <w:rsid w:val="001822E7"/>
    <w:rsid w:val="001823CB"/>
    <w:rsid w:val="001837E6"/>
    <w:rsid w:val="00184B2A"/>
    <w:rsid w:val="00184C81"/>
    <w:rsid w:val="00185202"/>
    <w:rsid w:val="001857EE"/>
    <w:rsid w:val="001861DD"/>
    <w:rsid w:val="00186666"/>
    <w:rsid w:val="001866DE"/>
    <w:rsid w:val="00186A7B"/>
    <w:rsid w:val="0018735D"/>
    <w:rsid w:val="00187B2F"/>
    <w:rsid w:val="00190D39"/>
    <w:rsid w:val="00191178"/>
    <w:rsid w:val="00191C3F"/>
    <w:rsid w:val="00192A3A"/>
    <w:rsid w:val="00192C43"/>
    <w:rsid w:val="001937C8"/>
    <w:rsid w:val="00193C2C"/>
    <w:rsid w:val="00194C0D"/>
    <w:rsid w:val="00195417"/>
    <w:rsid w:val="0019636E"/>
    <w:rsid w:val="0019675A"/>
    <w:rsid w:val="001974B2"/>
    <w:rsid w:val="00197D61"/>
    <w:rsid w:val="001A00CD"/>
    <w:rsid w:val="001A07B4"/>
    <w:rsid w:val="001A0AE7"/>
    <w:rsid w:val="001A1509"/>
    <w:rsid w:val="001A31C6"/>
    <w:rsid w:val="001A3A3A"/>
    <w:rsid w:val="001A3C5D"/>
    <w:rsid w:val="001A3E34"/>
    <w:rsid w:val="001A4767"/>
    <w:rsid w:val="001A57B3"/>
    <w:rsid w:val="001A58E6"/>
    <w:rsid w:val="001A61DE"/>
    <w:rsid w:val="001A7241"/>
    <w:rsid w:val="001B0224"/>
    <w:rsid w:val="001B0C03"/>
    <w:rsid w:val="001B126B"/>
    <w:rsid w:val="001B1571"/>
    <w:rsid w:val="001B18A1"/>
    <w:rsid w:val="001B1AC6"/>
    <w:rsid w:val="001B1C3D"/>
    <w:rsid w:val="001B1EFE"/>
    <w:rsid w:val="001B2EF2"/>
    <w:rsid w:val="001B3B24"/>
    <w:rsid w:val="001B4030"/>
    <w:rsid w:val="001B40A2"/>
    <w:rsid w:val="001B4775"/>
    <w:rsid w:val="001B4EF0"/>
    <w:rsid w:val="001B5357"/>
    <w:rsid w:val="001B564E"/>
    <w:rsid w:val="001B63FC"/>
    <w:rsid w:val="001B7099"/>
    <w:rsid w:val="001B771F"/>
    <w:rsid w:val="001B774C"/>
    <w:rsid w:val="001B775D"/>
    <w:rsid w:val="001B7B54"/>
    <w:rsid w:val="001B7DC9"/>
    <w:rsid w:val="001C0328"/>
    <w:rsid w:val="001C14E4"/>
    <w:rsid w:val="001C1B80"/>
    <w:rsid w:val="001C2C59"/>
    <w:rsid w:val="001C360B"/>
    <w:rsid w:val="001C39C1"/>
    <w:rsid w:val="001C4024"/>
    <w:rsid w:val="001C402E"/>
    <w:rsid w:val="001C4BA3"/>
    <w:rsid w:val="001C4D33"/>
    <w:rsid w:val="001C52BA"/>
    <w:rsid w:val="001C6A14"/>
    <w:rsid w:val="001C7879"/>
    <w:rsid w:val="001C7B42"/>
    <w:rsid w:val="001C7D55"/>
    <w:rsid w:val="001D0296"/>
    <w:rsid w:val="001D1F96"/>
    <w:rsid w:val="001D28B3"/>
    <w:rsid w:val="001D2CF2"/>
    <w:rsid w:val="001D34D9"/>
    <w:rsid w:val="001D3F8C"/>
    <w:rsid w:val="001D4F42"/>
    <w:rsid w:val="001D5384"/>
    <w:rsid w:val="001D5469"/>
    <w:rsid w:val="001D6ED9"/>
    <w:rsid w:val="001D7DA8"/>
    <w:rsid w:val="001E025A"/>
    <w:rsid w:val="001E048B"/>
    <w:rsid w:val="001E0FFF"/>
    <w:rsid w:val="001E1280"/>
    <w:rsid w:val="001E170E"/>
    <w:rsid w:val="001E1ACC"/>
    <w:rsid w:val="001E2050"/>
    <w:rsid w:val="001E2390"/>
    <w:rsid w:val="001E23D6"/>
    <w:rsid w:val="001E2440"/>
    <w:rsid w:val="001E29EC"/>
    <w:rsid w:val="001E2B14"/>
    <w:rsid w:val="001E2B54"/>
    <w:rsid w:val="001E31C0"/>
    <w:rsid w:val="001E389B"/>
    <w:rsid w:val="001E492B"/>
    <w:rsid w:val="001E5433"/>
    <w:rsid w:val="001E56A0"/>
    <w:rsid w:val="001E5C7C"/>
    <w:rsid w:val="001E6012"/>
    <w:rsid w:val="001E7EA2"/>
    <w:rsid w:val="001E7F7E"/>
    <w:rsid w:val="001F0BC0"/>
    <w:rsid w:val="001F390F"/>
    <w:rsid w:val="001F4665"/>
    <w:rsid w:val="001F4804"/>
    <w:rsid w:val="001F5470"/>
    <w:rsid w:val="001F6112"/>
    <w:rsid w:val="001F6448"/>
    <w:rsid w:val="001F6A96"/>
    <w:rsid w:val="001F73A7"/>
    <w:rsid w:val="001F7C0C"/>
    <w:rsid w:val="00200BA4"/>
    <w:rsid w:val="002012EF"/>
    <w:rsid w:val="0020187E"/>
    <w:rsid w:val="002025D5"/>
    <w:rsid w:val="00202A86"/>
    <w:rsid w:val="00202AF1"/>
    <w:rsid w:val="002033B7"/>
    <w:rsid w:val="0020427E"/>
    <w:rsid w:val="00204F27"/>
    <w:rsid w:val="002058D9"/>
    <w:rsid w:val="00205A92"/>
    <w:rsid w:val="00207054"/>
    <w:rsid w:val="00207072"/>
    <w:rsid w:val="002070AA"/>
    <w:rsid w:val="002072F6"/>
    <w:rsid w:val="00207D52"/>
    <w:rsid w:val="00210A69"/>
    <w:rsid w:val="0021122F"/>
    <w:rsid w:val="0021155B"/>
    <w:rsid w:val="0021188F"/>
    <w:rsid w:val="00213767"/>
    <w:rsid w:val="002143BE"/>
    <w:rsid w:val="00214801"/>
    <w:rsid w:val="00214D65"/>
    <w:rsid w:val="002153C7"/>
    <w:rsid w:val="00215C42"/>
    <w:rsid w:val="00216866"/>
    <w:rsid w:val="00216F07"/>
    <w:rsid w:val="00217385"/>
    <w:rsid w:val="00217411"/>
    <w:rsid w:val="00217A24"/>
    <w:rsid w:val="0022026C"/>
    <w:rsid w:val="0022081B"/>
    <w:rsid w:val="00221286"/>
    <w:rsid w:val="002217DB"/>
    <w:rsid w:val="0022181E"/>
    <w:rsid w:val="002219F8"/>
    <w:rsid w:val="00221A1D"/>
    <w:rsid w:val="00221E4C"/>
    <w:rsid w:val="00222108"/>
    <w:rsid w:val="00222F86"/>
    <w:rsid w:val="0022344E"/>
    <w:rsid w:val="00223762"/>
    <w:rsid w:val="00223878"/>
    <w:rsid w:val="002249A1"/>
    <w:rsid w:val="00225BED"/>
    <w:rsid w:val="00226D3D"/>
    <w:rsid w:val="002270BD"/>
    <w:rsid w:val="002279BB"/>
    <w:rsid w:val="00227C05"/>
    <w:rsid w:val="00227FE2"/>
    <w:rsid w:val="0023000F"/>
    <w:rsid w:val="00230542"/>
    <w:rsid w:val="002306F0"/>
    <w:rsid w:val="00231D92"/>
    <w:rsid w:val="00231E87"/>
    <w:rsid w:val="00231EA0"/>
    <w:rsid w:val="00232A4B"/>
    <w:rsid w:val="00232B76"/>
    <w:rsid w:val="0023325D"/>
    <w:rsid w:val="0023348B"/>
    <w:rsid w:val="002349BD"/>
    <w:rsid w:val="002354E6"/>
    <w:rsid w:val="00235B36"/>
    <w:rsid w:val="00236590"/>
    <w:rsid w:val="00236B3A"/>
    <w:rsid w:val="0024041F"/>
    <w:rsid w:val="00240437"/>
    <w:rsid w:val="0024096E"/>
    <w:rsid w:val="00241414"/>
    <w:rsid w:val="002414EF"/>
    <w:rsid w:val="00241AD1"/>
    <w:rsid w:val="00241F86"/>
    <w:rsid w:val="0024202B"/>
    <w:rsid w:val="002421F6"/>
    <w:rsid w:val="002424A0"/>
    <w:rsid w:val="00242955"/>
    <w:rsid w:val="00242DA3"/>
    <w:rsid w:val="00244230"/>
    <w:rsid w:val="00244E2B"/>
    <w:rsid w:val="002456CB"/>
    <w:rsid w:val="00245967"/>
    <w:rsid w:val="00246578"/>
    <w:rsid w:val="00246936"/>
    <w:rsid w:val="00247001"/>
    <w:rsid w:val="00247250"/>
    <w:rsid w:val="002518C1"/>
    <w:rsid w:val="00251BAE"/>
    <w:rsid w:val="002531A5"/>
    <w:rsid w:val="00253544"/>
    <w:rsid w:val="00253C53"/>
    <w:rsid w:val="002540A7"/>
    <w:rsid w:val="00254D1E"/>
    <w:rsid w:val="00254F1D"/>
    <w:rsid w:val="002553BD"/>
    <w:rsid w:val="002556F1"/>
    <w:rsid w:val="00255B80"/>
    <w:rsid w:val="00256401"/>
    <w:rsid w:val="00256B07"/>
    <w:rsid w:val="00257DF6"/>
    <w:rsid w:val="00260552"/>
    <w:rsid w:val="00260CDB"/>
    <w:rsid w:val="0026130E"/>
    <w:rsid w:val="0026147B"/>
    <w:rsid w:val="00261C66"/>
    <w:rsid w:val="00262BE2"/>
    <w:rsid w:val="00263417"/>
    <w:rsid w:val="00263BEE"/>
    <w:rsid w:val="00263D1A"/>
    <w:rsid w:val="00263DF0"/>
    <w:rsid w:val="00263F8B"/>
    <w:rsid w:val="002649A8"/>
    <w:rsid w:val="0026518A"/>
    <w:rsid w:val="00265419"/>
    <w:rsid w:val="00265A8B"/>
    <w:rsid w:val="00266EE4"/>
    <w:rsid w:val="0026798F"/>
    <w:rsid w:val="002705C7"/>
    <w:rsid w:val="00270FD0"/>
    <w:rsid w:val="002721B8"/>
    <w:rsid w:val="00272A90"/>
    <w:rsid w:val="00272FAE"/>
    <w:rsid w:val="002745BA"/>
    <w:rsid w:val="0027526A"/>
    <w:rsid w:val="002753A1"/>
    <w:rsid w:val="00275A2F"/>
    <w:rsid w:val="0027617B"/>
    <w:rsid w:val="002764DA"/>
    <w:rsid w:val="00277DF3"/>
    <w:rsid w:val="00280C22"/>
    <w:rsid w:val="00281352"/>
    <w:rsid w:val="002813FA"/>
    <w:rsid w:val="00281906"/>
    <w:rsid w:val="002825F0"/>
    <w:rsid w:val="002828D7"/>
    <w:rsid w:val="00282B6C"/>
    <w:rsid w:val="00282CA2"/>
    <w:rsid w:val="00282ECF"/>
    <w:rsid w:val="00283323"/>
    <w:rsid w:val="0028350B"/>
    <w:rsid w:val="00283569"/>
    <w:rsid w:val="00284064"/>
    <w:rsid w:val="002846B2"/>
    <w:rsid w:val="00285225"/>
    <w:rsid w:val="00285584"/>
    <w:rsid w:val="00285D61"/>
    <w:rsid w:val="0028664A"/>
    <w:rsid w:val="00286809"/>
    <w:rsid w:val="00286CF3"/>
    <w:rsid w:val="00287C55"/>
    <w:rsid w:val="002906C8"/>
    <w:rsid w:val="00290A82"/>
    <w:rsid w:val="00290E7C"/>
    <w:rsid w:val="002910DE"/>
    <w:rsid w:val="00291445"/>
    <w:rsid w:val="0029293A"/>
    <w:rsid w:val="00292ADC"/>
    <w:rsid w:val="0029394F"/>
    <w:rsid w:val="00293ABD"/>
    <w:rsid w:val="00293B46"/>
    <w:rsid w:val="00294A88"/>
    <w:rsid w:val="00295FBE"/>
    <w:rsid w:val="00296AF5"/>
    <w:rsid w:val="00296E33"/>
    <w:rsid w:val="00297DEC"/>
    <w:rsid w:val="002A06D4"/>
    <w:rsid w:val="002A083C"/>
    <w:rsid w:val="002A1888"/>
    <w:rsid w:val="002A1BBA"/>
    <w:rsid w:val="002A28F7"/>
    <w:rsid w:val="002A3A09"/>
    <w:rsid w:val="002A3B03"/>
    <w:rsid w:val="002A3D58"/>
    <w:rsid w:val="002A403E"/>
    <w:rsid w:val="002A5B8B"/>
    <w:rsid w:val="002A60D6"/>
    <w:rsid w:val="002A65D0"/>
    <w:rsid w:val="002A66C3"/>
    <w:rsid w:val="002A6CA4"/>
    <w:rsid w:val="002A6F67"/>
    <w:rsid w:val="002A7AB2"/>
    <w:rsid w:val="002A7E2C"/>
    <w:rsid w:val="002B0D45"/>
    <w:rsid w:val="002B107D"/>
    <w:rsid w:val="002B22B4"/>
    <w:rsid w:val="002B2748"/>
    <w:rsid w:val="002B344D"/>
    <w:rsid w:val="002B3815"/>
    <w:rsid w:val="002B4C50"/>
    <w:rsid w:val="002B4DFF"/>
    <w:rsid w:val="002B4E45"/>
    <w:rsid w:val="002B5971"/>
    <w:rsid w:val="002B5994"/>
    <w:rsid w:val="002B605A"/>
    <w:rsid w:val="002B6D2A"/>
    <w:rsid w:val="002B79C9"/>
    <w:rsid w:val="002C0CBD"/>
    <w:rsid w:val="002C0D30"/>
    <w:rsid w:val="002C1D3F"/>
    <w:rsid w:val="002C2251"/>
    <w:rsid w:val="002C3120"/>
    <w:rsid w:val="002C3457"/>
    <w:rsid w:val="002C34FA"/>
    <w:rsid w:val="002C3A38"/>
    <w:rsid w:val="002C4275"/>
    <w:rsid w:val="002C4424"/>
    <w:rsid w:val="002C4C47"/>
    <w:rsid w:val="002C4FCC"/>
    <w:rsid w:val="002C6B5D"/>
    <w:rsid w:val="002C70AB"/>
    <w:rsid w:val="002C72BA"/>
    <w:rsid w:val="002C7E47"/>
    <w:rsid w:val="002D0218"/>
    <w:rsid w:val="002D1FE5"/>
    <w:rsid w:val="002D398C"/>
    <w:rsid w:val="002D3FA4"/>
    <w:rsid w:val="002D5B8D"/>
    <w:rsid w:val="002D5E8A"/>
    <w:rsid w:val="002D62D9"/>
    <w:rsid w:val="002D64B3"/>
    <w:rsid w:val="002D70CD"/>
    <w:rsid w:val="002D738D"/>
    <w:rsid w:val="002D797A"/>
    <w:rsid w:val="002E04DE"/>
    <w:rsid w:val="002E1322"/>
    <w:rsid w:val="002E1405"/>
    <w:rsid w:val="002E2975"/>
    <w:rsid w:val="002E29D6"/>
    <w:rsid w:val="002E2CAF"/>
    <w:rsid w:val="002E2D34"/>
    <w:rsid w:val="002E30F3"/>
    <w:rsid w:val="002E3AE4"/>
    <w:rsid w:val="002E3ED9"/>
    <w:rsid w:val="002E4081"/>
    <w:rsid w:val="002E5C98"/>
    <w:rsid w:val="002E60B5"/>
    <w:rsid w:val="002E6566"/>
    <w:rsid w:val="002E6734"/>
    <w:rsid w:val="002E692A"/>
    <w:rsid w:val="002E6CC4"/>
    <w:rsid w:val="002E6F27"/>
    <w:rsid w:val="002E70AA"/>
    <w:rsid w:val="002F0252"/>
    <w:rsid w:val="002F0E05"/>
    <w:rsid w:val="002F1206"/>
    <w:rsid w:val="002F1406"/>
    <w:rsid w:val="002F19A0"/>
    <w:rsid w:val="002F200C"/>
    <w:rsid w:val="002F334E"/>
    <w:rsid w:val="002F34A7"/>
    <w:rsid w:val="002F3DB2"/>
    <w:rsid w:val="002F3DD2"/>
    <w:rsid w:val="002F49A1"/>
    <w:rsid w:val="002F53C1"/>
    <w:rsid w:val="002F645B"/>
    <w:rsid w:val="002F6478"/>
    <w:rsid w:val="002F65FF"/>
    <w:rsid w:val="002F667F"/>
    <w:rsid w:val="002F745B"/>
    <w:rsid w:val="003006AC"/>
    <w:rsid w:val="00300BEC"/>
    <w:rsid w:val="00300CEC"/>
    <w:rsid w:val="00300FFA"/>
    <w:rsid w:val="003012F6"/>
    <w:rsid w:val="0030157B"/>
    <w:rsid w:val="00301CDF"/>
    <w:rsid w:val="003027B0"/>
    <w:rsid w:val="00302F91"/>
    <w:rsid w:val="00303E49"/>
    <w:rsid w:val="0030410C"/>
    <w:rsid w:val="003046FA"/>
    <w:rsid w:val="0030576C"/>
    <w:rsid w:val="00305AEF"/>
    <w:rsid w:val="00305F09"/>
    <w:rsid w:val="00305FC4"/>
    <w:rsid w:val="00310951"/>
    <w:rsid w:val="00310D29"/>
    <w:rsid w:val="00310D45"/>
    <w:rsid w:val="003125A8"/>
    <w:rsid w:val="00312989"/>
    <w:rsid w:val="003139EB"/>
    <w:rsid w:val="00313B8B"/>
    <w:rsid w:val="00313E7D"/>
    <w:rsid w:val="003141F0"/>
    <w:rsid w:val="00314401"/>
    <w:rsid w:val="00315E6C"/>
    <w:rsid w:val="003179B9"/>
    <w:rsid w:val="00320CD8"/>
    <w:rsid w:val="00321471"/>
    <w:rsid w:val="0032147C"/>
    <w:rsid w:val="00321935"/>
    <w:rsid w:val="00321ACB"/>
    <w:rsid w:val="00322E49"/>
    <w:rsid w:val="00323639"/>
    <w:rsid w:val="00323C4E"/>
    <w:rsid w:val="00324525"/>
    <w:rsid w:val="00324734"/>
    <w:rsid w:val="00324A0A"/>
    <w:rsid w:val="00324C24"/>
    <w:rsid w:val="003258F9"/>
    <w:rsid w:val="0032640E"/>
    <w:rsid w:val="003272BD"/>
    <w:rsid w:val="00327995"/>
    <w:rsid w:val="003300C1"/>
    <w:rsid w:val="0033026B"/>
    <w:rsid w:val="00331178"/>
    <w:rsid w:val="00331CA5"/>
    <w:rsid w:val="00331F04"/>
    <w:rsid w:val="0033207F"/>
    <w:rsid w:val="00332C94"/>
    <w:rsid w:val="00333632"/>
    <w:rsid w:val="00333966"/>
    <w:rsid w:val="00333AE1"/>
    <w:rsid w:val="0033434C"/>
    <w:rsid w:val="00334A46"/>
    <w:rsid w:val="00334D86"/>
    <w:rsid w:val="00335415"/>
    <w:rsid w:val="0033556C"/>
    <w:rsid w:val="003358A7"/>
    <w:rsid w:val="00335F31"/>
    <w:rsid w:val="00336052"/>
    <w:rsid w:val="00336121"/>
    <w:rsid w:val="003369B8"/>
    <w:rsid w:val="00336D17"/>
    <w:rsid w:val="003403F8"/>
    <w:rsid w:val="00341285"/>
    <w:rsid w:val="00341723"/>
    <w:rsid w:val="0034259C"/>
    <w:rsid w:val="0034261C"/>
    <w:rsid w:val="00342720"/>
    <w:rsid w:val="00342C10"/>
    <w:rsid w:val="00342E15"/>
    <w:rsid w:val="00343060"/>
    <w:rsid w:val="00343C51"/>
    <w:rsid w:val="00343CB1"/>
    <w:rsid w:val="00345F0A"/>
    <w:rsid w:val="003460C9"/>
    <w:rsid w:val="003463CB"/>
    <w:rsid w:val="003475E0"/>
    <w:rsid w:val="00347B82"/>
    <w:rsid w:val="00347E90"/>
    <w:rsid w:val="00347EDE"/>
    <w:rsid w:val="00350270"/>
    <w:rsid w:val="0035045D"/>
    <w:rsid w:val="00350CB2"/>
    <w:rsid w:val="00352C79"/>
    <w:rsid w:val="00353034"/>
    <w:rsid w:val="00353FC5"/>
    <w:rsid w:val="00354F0C"/>
    <w:rsid w:val="00355395"/>
    <w:rsid w:val="0035572C"/>
    <w:rsid w:val="00355F27"/>
    <w:rsid w:val="00355F40"/>
    <w:rsid w:val="00356804"/>
    <w:rsid w:val="00356939"/>
    <w:rsid w:val="00356BA1"/>
    <w:rsid w:val="00357976"/>
    <w:rsid w:val="00360C9B"/>
    <w:rsid w:val="00361831"/>
    <w:rsid w:val="00361912"/>
    <w:rsid w:val="003627D4"/>
    <w:rsid w:val="00362D7B"/>
    <w:rsid w:val="0036350D"/>
    <w:rsid w:val="00363E3B"/>
    <w:rsid w:val="00363F85"/>
    <w:rsid w:val="00364199"/>
    <w:rsid w:val="0036490C"/>
    <w:rsid w:val="00365262"/>
    <w:rsid w:val="0036601E"/>
    <w:rsid w:val="00366114"/>
    <w:rsid w:val="00366B1A"/>
    <w:rsid w:val="00366B3D"/>
    <w:rsid w:val="00366BAB"/>
    <w:rsid w:val="00366F74"/>
    <w:rsid w:val="0036720C"/>
    <w:rsid w:val="003678AD"/>
    <w:rsid w:val="00370145"/>
    <w:rsid w:val="00370C41"/>
    <w:rsid w:val="00371275"/>
    <w:rsid w:val="00371334"/>
    <w:rsid w:val="00372358"/>
    <w:rsid w:val="003730A7"/>
    <w:rsid w:val="00374325"/>
    <w:rsid w:val="00374BA9"/>
    <w:rsid w:val="00375549"/>
    <w:rsid w:val="003762E3"/>
    <w:rsid w:val="00376943"/>
    <w:rsid w:val="00376B34"/>
    <w:rsid w:val="003812BF"/>
    <w:rsid w:val="00381FFC"/>
    <w:rsid w:val="00382419"/>
    <w:rsid w:val="00382F20"/>
    <w:rsid w:val="00384EFA"/>
    <w:rsid w:val="00385030"/>
    <w:rsid w:val="00386A28"/>
    <w:rsid w:val="00386A92"/>
    <w:rsid w:val="00387354"/>
    <w:rsid w:val="003876A2"/>
    <w:rsid w:val="00387885"/>
    <w:rsid w:val="00387890"/>
    <w:rsid w:val="00387A8D"/>
    <w:rsid w:val="00387D84"/>
    <w:rsid w:val="00390024"/>
    <w:rsid w:val="00390733"/>
    <w:rsid w:val="00390D53"/>
    <w:rsid w:val="00390EB3"/>
    <w:rsid w:val="003918D9"/>
    <w:rsid w:val="003918F6"/>
    <w:rsid w:val="00391B54"/>
    <w:rsid w:val="00391E3D"/>
    <w:rsid w:val="00392121"/>
    <w:rsid w:val="00392DA4"/>
    <w:rsid w:val="003937A1"/>
    <w:rsid w:val="00393CE6"/>
    <w:rsid w:val="00393D30"/>
    <w:rsid w:val="00393D9C"/>
    <w:rsid w:val="003950F2"/>
    <w:rsid w:val="00395444"/>
    <w:rsid w:val="00395994"/>
    <w:rsid w:val="00396A26"/>
    <w:rsid w:val="00396F94"/>
    <w:rsid w:val="00397071"/>
    <w:rsid w:val="00397D10"/>
    <w:rsid w:val="003A277B"/>
    <w:rsid w:val="003A298B"/>
    <w:rsid w:val="003A3260"/>
    <w:rsid w:val="003A389F"/>
    <w:rsid w:val="003A4044"/>
    <w:rsid w:val="003A5033"/>
    <w:rsid w:val="003A592D"/>
    <w:rsid w:val="003A60E4"/>
    <w:rsid w:val="003A6969"/>
    <w:rsid w:val="003B00C8"/>
    <w:rsid w:val="003B0359"/>
    <w:rsid w:val="003B11A2"/>
    <w:rsid w:val="003B14EA"/>
    <w:rsid w:val="003B1743"/>
    <w:rsid w:val="003B1761"/>
    <w:rsid w:val="003B1AD8"/>
    <w:rsid w:val="003B2F80"/>
    <w:rsid w:val="003B34CA"/>
    <w:rsid w:val="003B3962"/>
    <w:rsid w:val="003B3964"/>
    <w:rsid w:val="003B50F4"/>
    <w:rsid w:val="003B5391"/>
    <w:rsid w:val="003B635B"/>
    <w:rsid w:val="003B6652"/>
    <w:rsid w:val="003B7591"/>
    <w:rsid w:val="003B7C0C"/>
    <w:rsid w:val="003B7D83"/>
    <w:rsid w:val="003C035F"/>
    <w:rsid w:val="003C0B2D"/>
    <w:rsid w:val="003C119A"/>
    <w:rsid w:val="003C14DE"/>
    <w:rsid w:val="003C1BD1"/>
    <w:rsid w:val="003C1EFE"/>
    <w:rsid w:val="003C25E1"/>
    <w:rsid w:val="003C263C"/>
    <w:rsid w:val="003C2FAD"/>
    <w:rsid w:val="003C332D"/>
    <w:rsid w:val="003C3A4A"/>
    <w:rsid w:val="003C3D5D"/>
    <w:rsid w:val="003C4A5C"/>
    <w:rsid w:val="003C50FD"/>
    <w:rsid w:val="003C7578"/>
    <w:rsid w:val="003C75F7"/>
    <w:rsid w:val="003C79A5"/>
    <w:rsid w:val="003C7A44"/>
    <w:rsid w:val="003C7F00"/>
    <w:rsid w:val="003D0551"/>
    <w:rsid w:val="003D0BCB"/>
    <w:rsid w:val="003D12BD"/>
    <w:rsid w:val="003D195D"/>
    <w:rsid w:val="003D1982"/>
    <w:rsid w:val="003D1D6E"/>
    <w:rsid w:val="003D20C6"/>
    <w:rsid w:val="003D220C"/>
    <w:rsid w:val="003D2C03"/>
    <w:rsid w:val="003D4B4F"/>
    <w:rsid w:val="003D5476"/>
    <w:rsid w:val="003D5B99"/>
    <w:rsid w:val="003D64A6"/>
    <w:rsid w:val="003D64E6"/>
    <w:rsid w:val="003D70E9"/>
    <w:rsid w:val="003D73BA"/>
    <w:rsid w:val="003D74D0"/>
    <w:rsid w:val="003D7662"/>
    <w:rsid w:val="003E05A6"/>
    <w:rsid w:val="003E1349"/>
    <w:rsid w:val="003E15A7"/>
    <w:rsid w:val="003E1780"/>
    <w:rsid w:val="003E1C41"/>
    <w:rsid w:val="003E3028"/>
    <w:rsid w:val="003E30B6"/>
    <w:rsid w:val="003E31E0"/>
    <w:rsid w:val="003E3C34"/>
    <w:rsid w:val="003E47F4"/>
    <w:rsid w:val="003E48AF"/>
    <w:rsid w:val="003E490E"/>
    <w:rsid w:val="003E4DD1"/>
    <w:rsid w:val="003E5A82"/>
    <w:rsid w:val="003E5FDA"/>
    <w:rsid w:val="003E6B05"/>
    <w:rsid w:val="003E7029"/>
    <w:rsid w:val="003E7354"/>
    <w:rsid w:val="003F06C0"/>
    <w:rsid w:val="003F0748"/>
    <w:rsid w:val="003F0BA8"/>
    <w:rsid w:val="003F165D"/>
    <w:rsid w:val="003F2183"/>
    <w:rsid w:val="003F23E1"/>
    <w:rsid w:val="003F3075"/>
    <w:rsid w:val="003F3F45"/>
    <w:rsid w:val="003F43CD"/>
    <w:rsid w:val="003F4C1B"/>
    <w:rsid w:val="003F4C25"/>
    <w:rsid w:val="003F5EB0"/>
    <w:rsid w:val="003F618B"/>
    <w:rsid w:val="003F624F"/>
    <w:rsid w:val="003F697C"/>
    <w:rsid w:val="003F6B52"/>
    <w:rsid w:val="003F70B5"/>
    <w:rsid w:val="003F7823"/>
    <w:rsid w:val="003F7C69"/>
    <w:rsid w:val="00400129"/>
    <w:rsid w:val="00402085"/>
    <w:rsid w:val="00402566"/>
    <w:rsid w:val="004025BC"/>
    <w:rsid w:val="004031B5"/>
    <w:rsid w:val="00403869"/>
    <w:rsid w:val="004039D8"/>
    <w:rsid w:val="00403D96"/>
    <w:rsid w:val="00404A79"/>
    <w:rsid w:val="00405125"/>
    <w:rsid w:val="00405746"/>
    <w:rsid w:val="00405999"/>
    <w:rsid w:val="00405AD8"/>
    <w:rsid w:val="00406D2F"/>
    <w:rsid w:val="00407039"/>
    <w:rsid w:val="00407112"/>
    <w:rsid w:val="004100EE"/>
    <w:rsid w:val="00410214"/>
    <w:rsid w:val="00410EC1"/>
    <w:rsid w:val="0041144E"/>
    <w:rsid w:val="004115E2"/>
    <w:rsid w:val="004116A6"/>
    <w:rsid w:val="00411A21"/>
    <w:rsid w:val="00411FBC"/>
    <w:rsid w:val="004123F8"/>
    <w:rsid w:val="00412665"/>
    <w:rsid w:val="004128D4"/>
    <w:rsid w:val="00412B3F"/>
    <w:rsid w:val="00412D6C"/>
    <w:rsid w:val="00413727"/>
    <w:rsid w:val="00414676"/>
    <w:rsid w:val="0041487E"/>
    <w:rsid w:val="00415EEA"/>
    <w:rsid w:val="004161F4"/>
    <w:rsid w:val="00416F6A"/>
    <w:rsid w:val="0041741F"/>
    <w:rsid w:val="004178CF"/>
    <w:rsid w:val="00417E3A"/>
    <w:rsid w:val="00420144"/>
    <w:rsid w:val="00420421"/>
    <w:rsid w:val="00420444"/>
    <w:rsid w:val="00420F61"/>
    <w:rsid w:val="004210A7"/>
    <w:rsid w:val="00421380"/>
    <w:rsid w:val="0042147D"/>
    <w:rsid w:val="00421597"/>
    <w:rsid w:val="004228B5"/>
    <w:rsid w:val="00424E84"/>
    <w:rsid w:val="00425058"/>
    <w:rsid w:val="00425610"/>
    <w:rsid w:val="00425FAA"/>
    <w:rsid w:val="00425FCF"/>
    <w:rsid w:val="004265BB"/>
    <w:rsid w:val="00426ECB"/>
    <w:rsid w:val="004276E1"/>
    <w:rsid w:val="00427E2B"/>
    <w:rsid w:val="00430615"/>
    <w:rsid w:val="00430A2E"/>
    <w:rsid w:val="0043116E"/>
    <w:rsid w:val="00431200"/>
    <w:rsid w:val="00431A12"/>
    <w:rsid w:val="00431CC9"/>
    <w:rsid w:val="00431F82"/>
    <w:rsid w:val="00432261"/>
    <w:rsid w:val="004326A7"/>
    <w:rsid w:val="00432E6B"/>
    <w:rsid w:val="00432F87"/>
    <w:rsid w:val="0043305C"/>
    <w:rsid w:val="004331E8"/>
    <w:rsid w:val="004339BA"/>
    <w:rsid w:val="00433B69"/>
    <w:rsid w:val="004346D8"/>
    <w:rsid w:val="00434DB0"/>
    <w:rsid w:val="004353D2"/>
    <w:rsid w:val="004355DE"/>
    <w:rsid w:val="00435656"/>
    <w:rsid w:val="004357CA"/>
    <w:rsid w:val="00435F76"/>
    <w:rsid w:val="004367BC"/>
    <w:rsid w:val="0043774D"/>
    <w:rsid w:val="00437ABD"/>
    <w:rsid w:val="0044017E"/>
    <w:rsid w:val="0044031B"/>
    <w:rsid w:val="00440639"/>
    <w:rsid w:val="00440894"/>
    <w:rsid w:val="00441207"/>
    <w:rsid w:val="00441333"/>
    <w:rsid w:val="00442777"/>
    <w:rsid w:val="00442C33"/>
    <w:rsid w:val="0044340F"/>
    <w:rsid w:val="00443ABF"/>
    <w:rsid w:val="00443C63"/>
    <w:rsid w:val="0044404B"/>
    <w:rsid w:val="00444D4C"/>
    <w:rsid w:val="00444DCA"/>
    <w:rsid w:val="0044506E"/>
    <w:rsid w:val="00445141"/>
    <w:rsid w:val="00445919"/>
    <w:rsid w:val="00445C0D"/>
    <w:rsid w:val="00445C91"/>
    <w:rsid w:val="00446038"/>
    <w:rsid w:val="004477D0"/>
    <w:rsid w:val="0044796C"/>
    <w:rsid w:val="00447DED"/>
    <w:rsid w:val="00450B6A"/>
    <w:rsid w:val="004512A2"/>
    <w:rsid w:val="00451FC5"/>
    <w:rsid w:val="004522A7"/>
    <w:rsid w:val="004539EC"/>
    <w:rsid w:val="00453B01"/>
    <w:rsid w:val="00453B83"/>
    <w:rsid w:val="0045466E"/>
    <w:rsid w:val="00455041"/>
    <w:rsid w:val="004554CC"/>
    <w:rsid w:val="00456075"/>
    <w:rsid w:val="00456753"/>
    <w:rsid w:val="00456970"/>
    <w:rsid w:val="00456B49"/>
    <w:rsid w:val="00456EC8"/>
    <w:rsid w:val="0045790F"/>
    <w:rsid w:val="00457E32"/>
    <w:rsid w:val="004601A8"/>
    <w:rsid w:val="004604FB"/>
    <w:rsid w:val="00460D98"/>
    <w:rsid w:val="00461A0F"/>
    <w:rsid w:val="00461C29"/>
    <w:rsid w:val="004629C4"/>
    <w:rsid w:val="00462E87"/>
    <w:rsid w:val="00463167"/>
    <w:rsid w:val="00463169"/>
    <w:rsid w:val="00463C3D"/>
    <w:rsid w:val="004652CB"/>
    <w:rsid w:val="00466312"/>
    <w:rsid w:val="00467973"/>
    <w:rsid w:val="00467C3B"/>
    <w:rsid w:val="00467D99"/>
    <w:rsid w:val="00470C94"/>
    <w:rsid w:val="00470EB1"/>
    <w:rsid w:val="00471266"/>
    <w:rsid w:val="004715FB"/>
    <w:rsid w:val="004716A9"/>
    <w:rsid w:val="00472661"/>
    <w:rsid w:val="00472A2C"/>
    <w:rsid w:val="004744DD"/>
    <w:rsid w:val="00474AFB"/>
    <w:rsid w:val="00474F13"/>
    <w:rsid w:val="00474F70"/>
    <w:rsid w:val="00475527"/>
    <w:rsid w:val="004763CF"/>
    <w:rsid w:val="004771AE"/>
    <w:rsid w:val="004772B3"/>
    <w:rsid w:val="00480029"/>
    <w:rsid w:val="00480404"/>
    <w:rsid w:val="00480EAB"/>
    <w:rsid w:val="00481734"/>
    <w:rsid w:val="00481A49"/>
    <w:rsid w:val="0048211A"/>
    <w:rsid w:val="004823CB"/>
    <w:rsid w:val="00482C34"/>
    <w:rsid w:val="00482DC6"/>
    <w:rsid w:val="0048365B"/>
    <w:rsid w:val="0048495D"/>
    <w:rsid w:val="0048530E"/>
    <w:rsid w:val="00485910"/>
    <w:rsid w:val="00485F4E"/>
    <w:rsid w:val="004868F9"/>
    <w:rsid w:val="0048706D"/>
    <w:rsid w:val="004872E1"/>
    <w:rsid w:val="0049053C"/>
    <w:rsid w:val="004908FB"/>
    <w:rsid w:val="00490D5C"/>
    <w:rsid w:val="00491675"/>
    <w:rsid w:val="00493720"/>
    <w:rsid w:val="004937C2"/>
    <w:rsid w:val="00493B7C"/>
    <w:rsid w:val="00493FDF"/>
    <w:rsid w:val="00494403"/>
    <w:rsid w:val="00494DA2"/>
    <w:rsid w:val="0049550D"/>
    <w:rsid w:val="0049550E"/>
    <w:rsid w:val="00495D5F"/>
    <w:rsid w:val="004966B3"/>
    <w:rsid w:val="00497036"/>
    <w:rsid w:val="00497532"/>
    <w:rsid w:val="00497978"/>
    <w:rsid w:val="004A06F2"/>
    <w:rsid w:val="004A0B7E"/>
    <w:rsid w:val="004A0BF4"/>
    <w:rsid w:val="004A11BC"/>
    <w:rsid w:val="004A1593"/>
    <w:rsid w:val="004A1814"/>
    <w:rsid w:val="004A208F"/>
    <w:rsid w:val="004A28DF"/>
    <w:rsid w:val="004A2C80"/>
    <w:rsid w:val="004A347C"/>
    <w:rsid w:val="004A355E"/>
    <w:rsid w:val="004A3B44"/>
    <w:rsid w:val="004A3C3C"/>
    <w:rsid w:val="004A50DD"/>
    <w:rsid w:val="004A5314"/>
    <w:rsid w:val="004A5A18"/>
    <w:rsid w:val="004A5C4F"/>
    <w:rsid w:val="004A7101"/>
    <w:rsid w:val="004A7877"/>
    <w:rsid w:val="004A7878"/>
    <w:rsid w:val="004B04D6"/>
    <w:rsid w:val="004B11DB"/>
    <w:rsid w:val="004B1539"/>
    <w:rsid w:val="004B2F42"/>
    <w:rsid w:val="004B3741"/>
    <w:rsid w:val="004B3CA6"/>
    <w:rsid w:val="004B64E1"/>
    <w:rsid w:val="004B651E"/>
    <w:rsid w:val="004B6F0B"/>
    <w:rsid w:val="004B7FAD"/>
    <w:rsid w:val="004C0006"/>
    <w:rsid w:val="004C0368"/>
    <w:rsid w:val="004C0925"/>
    <w:rsid w:val="004C09DA"/>
    <w:rsid w:val="004C0F38"/>
    <w:rsid w:val="004C1708"/>
    <w:rsid w:val="004C2118"/>
    <w:rsid w:val="004C238E"/>
    <w:rsid w:val="004C2B1A"/>
    <w:rsid w:val="004C3161"/>
    <w:rsid w:val="004C3BE6"/>
    <w:rsid w:val="004C4463"/>
    <w:rsid w:val="004C4CDD"/>
    <w:rsid w:val="004C5D19"/>
    <w:rsid w:val="004C6233"/>
    <w:rsid w:val="004C6CB3"/>
    <w:rsid w:val="004C6EAF"/>
    <w:rsid w:val="004C78EA"/>
    <w:rsid w:val="004D05A6"/>
    <w:rsid w:val="004D1305"/>
    <w:rsid w:val="004D178C"/>
    <w:rsid w:val="004D23CB"/>
    <w:rsid w:val="004D2BDB"/>
    <w:rsid w:val="004D42BE"/>
    <w:rsid w:val="004D462B"/>
    <w:rsid w:val="004D496C"/>
    <w:rsid w:val="004D4E10"/>
    <w:rsid w:val="004D4E75"/>
    <w:rsid w:val="004D5015"/>
    <w:rsid w:val="004D50EE"/>
    <w:rsid w:val="004D61FC"/>
    <w:rsid w:val="004D6840"/>
    <w:rsid w:val="004D6CDD"/>
    <w:rsid w:val="004D7A94"/>
    <w:rsid w:val="004D7CD9"/>
    <w:rsid w:val="004E010E"/>
    <w:rsid w:val="004E039A"/>
    <w:rsid w:val="004E0853"/>
    <w:rsid w:val="004E168D"/>
    <w:rsid w:val="004E1A32"/>
    <w:rsid w:val="004E2022"/>
    <w:rsid w:val="004E2776"/>
    <w:rsid w:val="004E2A61"/>
    <w:rsid w:val="004E2B64"/>
    <w:rsid w:val="004E4801"/>
    <w:rsid w:val="004E4999"/>
    <w:rsid w:val="004E4DF0"/>
    <w:rsid w:val="004E4E58"/>
    <w:rsid w:val="004E553E"/>
    <w:rsid w:val="004E5930"/>
    <w:rsid w:val="004E5F50"/>
    <w:rsid w:val="004E7132"/>
    <w:rsid w:val="004F0271"/>
    <w:rsid w:val="004F1174"/>
    <w:rsid w:val="004F1F43"/>
    <w:rsid w:val="004F3796"/>
    <w:rsid w:val="004F41A4"/>
    <w:rsid w:val="004F467D"/>
    <w:rsid w:val="004F4831"/>
    <w:rsid w:val="004F4EB2"/>
    <w:rsid w:val="004F52E1"/>
    <w:rsid w:val="004F5394"/>
    <w:rsid w:val="004F6B67"/>
    <w:rsid w:val="004F6C48"/>
    <w:rsid w:val="004F6F70"/>
    <w:rsid w:val="004F7A90"/>
    <w:rsid w:val="0050108C"/>
    <w:rsid w:val="00501B5C"/>
    <w:rsid w:val="00501C0A"/>
    <w:rsid w:val="00503380"/>
    <w:rsid w:val="00503AEB"/>
    <w:rsid w:val="00503FBC"/>
    <w:rsid w:val="00504939"/>
    <w:rsid w:val="005049BB"/>
    <w:rsid w:val="00504F2C"/>
    <w:rsid w:val="005058E9"/>
    <w:rsid w:val="005059D2"/>
    <w:rsid w:val="005065A9"/>
    <w:rsid w:val="00506DDC"/>
    <w:rsid w:val="00506EAE"/>
    <w:rsid w:val="00506F80"/>
    <w:rsid w:val="0050702C"/>
    <w:rsid w:val="0050713B"/>
    <w:rsid w:val="005071D5"/>
    <w:rsid w:val="00507B2C"/>
    <w:rsid w:val="00507B41"/>
    <w:rsid w:val="005100B7"/>
    <w:rsid w:val="00510854"/>
    <w:rsid w:val="00510AAA"/>
    <w:rsid w:val="00510AE0"/>
    <w:rsid w:val="00510BCE"/>
    <w:rsid w:val="00510F58"/>
    <w:rsid w:val="00511C2E"/>
    <w:rsid w:val="00511D1D"/>
    <w:rsid w:val="00512481"/>
    <w:rsid w:val="00512578"/>
    <w:rsid w:val="00513E0E"/>
    <w:rsid w:val="005140EC"/>
    <w:rsid w:val="005141A1"/>
    <w:rsid w:val="00514342"/>
    <w:rsid w:val="00514395"/>
    <w:rsid w:val="00514C4C"/>
    <w:rsid w:val="005151C8"/>
    <w:rsid w:val="0051562C"/>
    <w:rsid w:val="00515883"/>
    <w:rsid w:val="00515990"/>
    <w:rsid w:val="00515C0E"/>
    <w:rsid w:val="005162A6"/>
    <w:rsid w:val="00516604"/>
    <w:rsid w:val="00516EF6"/>
    <w:rsid w:val="00517D15"/>
    <w:rsid w:val="00521785"/>
    <w:rsid w:val="00521B90"/>
    <w:rsid w:val="00521D46"/>
    <w:rsid w:val="00522A8A"/>
    <w:rsid w:val="0052379A"/>
    <w:rsid w:val="00523986"/>
    <w:rsid w:val="00527D37"/>
    <w:rsid w:val="005300A4"/>
    <w:rsid w:val="00530577"/>
    <w:rsid w:val="0053076B"/>
    <w:rsid w:val="00531352"/>
    <w:rsid w:val="00531DAD"/>
    <w:rsid w:val="00531F9B"/>
    <w:rsid w:val="005321E6"/>
    <w:rsid w:val="0053232E"/>
    <w:rsid w:val="005324FF"/>
    <w:rsid w:val="00533DF5"/>
    <w:rsid w:val="00533F89"/>
    <w:rsid w:val="0053474A"/>
    <w:rsid w:val="00535B28"/>
    <w:rsid w:val="005360EB"/>
    <w:rsid w:val="0053638B"/>
    <w:rsid w:val="005367EC"/>
    <w:rsid w:val="0053743F"/>
    <w:rsid w:val="00537899"/>
    <w:rsid w:val="005404D8"/>
    <w:rsid w:val="0054136C"/>
    <w:rsid w:val="00541377"/>
    <w:rsid w:val="005420FC"/>
    <w:rsid w:val="00543697"/>
    <w:rsid w:val="00544990"/>
    <w:rsid w:val="00544C39"/>
    <w:rsid w:val="00544E54"/>
    <w:rsid w:val="005458CB"/>
    <w:rsid w:val="005458FA"/>
    <w:rsid w:val="00545A5A"/>
    <w:rsid w:val="00545F0F"/>
    <w:rsid w:val="00546753"/>
    <w:rsid w:val="00546E9F"/>
    <w:rsid w:val="00547133"/>
    <w:rsid w:val="00547145"/>
    <w:rsid w:val="00547611"/>
    <w:rsid w:val="005505BD"/>
    <w:rsid w:val="0055147F"/>
    <w:rsid w:val="00551FA4"/>
    <w:rsid w:val="0055281D"/>
    <w:rsid w:val="00552921"/>
    <w:rsid w:val="00552D7F"/>
    <w:rsid w:val="00554100"/>
    <w:rsid w:val="0055412F"/>
    <w:rsid w:val="0055414D"/>
    <w:rsid w:val="00554686"/>
    <w:rsid w:val="00554E62"/>
    <w:rsid w:val="005557A0"/>
    <w:rsid w:val="0055661B"/>
    <w:rsid w:val="00557017"/>
    <w:rsid w:val="005572F3"/>
    <w:rsid w:val="005579AF"/>
    <w:rsid w:val="00557E0A"/>
    <w:rsid w:val="00557EDD"/>
    <w:rsid w:val="005640E4"/>
    <w:rsid w:val="005640F2"/>
    <w:rsid w:val="005648F4"/>
    <w:rsid w:val="005649E6"/>
    <w:rsid w:val="00564A31"/>
    <w:rsid w:val="00564C08"/>
    <w:rsid w:val="00564D3C"/>
    <w:rsid w:val="00564FF7"/>
    <w:rsid w:val="0056693A"/>
    <w:rsid w:val="00567822"/>
    <w:rsid w:val="005678B0"/>
    <w:rsid w:val="0057005A"/>
    <w:rsid w:val="0057094B"/>
    <w:rsid w:val="00571BD3"/>
    <w:rsid w:val="005724B6"/>
    <w:rsid w:val="00573048"/>
    <w:rsid w:val="00573281"/>
    <w:rsid w:val="0057399A"/>
    <w:rsid w:val="00573DE8"/>
    <w:rsid w:val="0057449B"/>
    <w:rsid w:val="00574507"/>
    <w:rsid w:val="00574926"/>
    <w:rsid w:val="00574D21"/>
    <w:rsid w:val="00574FDB"/>
    <w:rsid w:val="005755C2"/>
    <w:rsid w:val="005756E7"/>
    <w:rsid w:val="0057586A"/>
    <w:rsid w:val="00575D65"/>
    <w:rsid w:val="00575DAB"/>
    <w:rsid w:val="005763B3"/>
    <w:rsid w:val="00577370"/>
    <w:rsid w:val="0057744F"/>
    <w:rsid w:val="00577CF1"/>
    <w:rsid w:val="00577E7F"/>
    <w:rsid w:val="005800FB"/>
    <w:rsid w:val="00580BB5"/>
    <w:rsid w:val="00581422"/>
    <w:rsid w:val="00581650"/>
    <w:rsid w:val="00581AB1"/>
    <w:rsid w:val="005821BC"/>
    <w:rsid w:val="0058298A"/>
    <w:rsid w:val="00582A7A"/>
    <w:rsid w:val="00584235"/>
    <w:rsid w:val="005843A4"/>
    <w:rsid w:val="0058470F"/>
    <w:rsid w:val="00584A2C"/>
    <w:rsid w:val="00584DBB"/>
    <w:rsid w:val="00584DEC"/>
    <w:rsid w:val="00586586"/>
    <w:rsid w:val="00587BAD"/>
    <w:rsid w:val="00590100"/>
    <w:rsid w:val="00590D4E"/>
    <w:rsid w:val="00591F75"/>
    <w:rsid w:val="005922C3"/>
    <w:rsid w:val="0059414A"/>
    <w:rsid w:val="00594B96"/>
    <w:rsid w:val="00594C94"/>
    <w:rsid w:val="005954EE"/>
    <w:rsid w:val="005956ED"/>
    <w:rsid w:val="00595C57"/>
    <w:rsid w:val="00595C6E"/>
    <w:rsid w:val="00595F07"/>
    <w:rsid w:val="00595F8B"/>
    <w:rsid w:val="0059662C"/>
    <w:rsid w:val="0059682D"/>
    <w:rsid w:val="00597201"/>
    <w:rsid w:val="005A01D6"/>
    <w:rsid w:val="005A0506"/>
    <w:rsid w:val="005A064E"/>
    <w:rsid w:val="005A1AA8"/>
    <w:rsid w:val="005A1AFE"/>
    <w:rsid w:val="005A1C12"/>
    <w:rsid w:val="005A37BD"/>
    <w:rsid w:val="005A38AB"/>
    <w:rsid w:val="005A3BEA"/>
    <w:rsid w:val="005A3E5A"/>
    <w:rsid w:val="005A4006"/>
    <w:rsid w:val="005A4229"/>
    <w:rsid w:val="005A49D3"/>
    <w:rsid w:val="005A4F41"/>
    <w:rsid w:val="005A5946"/>
    <w:rsid w:val="005A5B0B"/>
    <w:rsid w:val="005A628C"/>
    <w:rsid w:val="005A6632"/>
    <w:rsid w:val="005A68C8"/>
    <w:rsid w:val="005A6A35"/>
    <w:rsid w:val="005A6B49"/>
    <w:rsid w:val="005A731E"/>
    <w:rsid w:val="005A75A2"/>
    <w:rsid w:val="005B0404"/>
    <w:rsid w:val="005B0988"/>
    <w:rsid w:val="005B0A17"/>
    <w:rsid w:val="005B0B2A"/>
    <w:rsid w:val="005B0E7B"/>
    <w:rsid w:val="005B1639"/>
    <w:rsid w:val="005B1EDA"/>
    <w:rsid w:val="005B2A64"/>
    <w:rsid w:val="005B4831"/>
    <w:rsid w:val="005B54F2"/>
    <w:rsid w:val="005B5D8B"/>
    <w:rsid w:val="005B62A7"/>
    <w:rsid w:val="005B6D68"/>
    <w:rsid w:val="005B71F8"/>
    <w:rsid w:val="005B78F0"/>
    <w:rsid w:val="005B7B85"/>
    <w:rsid w:val="005B7CA9"/>
    <w:rsid w:val="005C14F5"/>
    <w:rsid w:val="005C3157"/>
    <w:rsid w:val="005C3368"/>
    <w:rsid w:val="005C385A"/>
    <w:rsid w:val="005C40B9"/>
    <w:rsid w:val="005C4904"/>
    <w:rsid w:val="005C4B8F"/>
    <w:rsid w:val="005C4C5C"/>
    <w:rsid w:val="005C4E79"/>
    <w:rsid w:val="005C54B9"/>
    <w:rsid w:val="005C6021"/>
    <w:rsid w:val="005C648A"/>
    <w:rsid w:val="005C7132"/>
    <w:rsid w:val="005C7A00"/>
    <w:rsid w:val="005C7CE5"/>
    <w:rsid w:val="005D0040"/>
    <w:rsid w:val="005D02D2"/>
    <w:rsid w:val="005D04DB"/>
    <w:rsid w:val="005D064F"/>
    <w:rsid w:val="005D085A"/>
    <w:rsid w:val="005D0A64"/>
    <w:rsid w:val="005D0E91"/>
    <w:rsid w:val="005D1269"/>
    <w:rsid w:val="005D1D0F"/>
    <w:rsid w:val="005D1E4A"/>
    <w:rsid w:val="005D2016"/>
    <w:rsid w:val="005D2A20"/>
    <w:rsid w:val="005D2F96"/>
    <w:rsid w:val="005D3116"/>
    <w:rsid w:val="005D3450"/>
    <w:rsid w:val="005D3FD8"/>
    <w:rsid w:val="005D4A9D"/>
    <w:rsid w:val="005D4FDA"/>
    <w:rsid w:val="005D53A6"/>
    <w:rsid w:val="005D624F"/>
    <w:rsid w:val="005D6250"/>
    <w:rsid w:val="005D739D"/>
    <w:rsid w:val="005E004D"/>
    <w:rsid w:val="005E0AC5"/>
    <w:rsid w:val="005E14C8"/>
    <w:rsid w:val="005E15AB"/>
    <w:rsid w:val="005E2294"/>
    <w:rsid w:val="005E36A3"/>
    <w:rsid w:val="005E3982"/>
    <w:rsid w:val="005E487B"/>
    <w:rsid w:val="005E4ACA"/>
    <w:rsid w:val="005E4C32"/>
    <w:rsid w:val="005E51F1"/>
    <w:rsid w:val="005E54FA"/>
    <w:rsid w:val="005E5AFB"/>
    <w:rsid w:val="005E5D40"/>
    <w:rsid w:val="005E645B"/>
    <w:rsid w:val="005E654F"/>
    <w:rsid w:val="005E6DD4"/>
    <w:rsid w:val="005E6F7A"/>
    <w:rsid w:val="005E70CC"/>
    <w:rsid w:val="005F062E"/>
    <w:rsid w:val="005F06BB"/>
    <w:rsid w:val="005F149C"/>
    <w:rsid w:val="005F19B9"/>
    <w:rsid w:val="005F1BAF"/>
    <w:rsid w:val="005F1BF1"/>
    <w:rsid w:val="005F2FB2"/>
    <w:rsid w:val="005F3155"/>
    <w:rsid w:val="005F32D9"/>
    <w:rsid w:val="005F4841"/>
    <w:rsid w:val="005F5582"/>
    <w:rsid w:val="005F5699"/>
    <w:rsid w:val="005F6333"/>
    <w:rsid w:val="005F6A29"/>
    <w:rsid w:val="005F6B80"/>
    <w:rsid w:val="005F792B"/>
    <w:rsid w:val="00600946"/>
    <w:rsid w:val="0060151A"/>
    <w:rsid w:val="006018E3"/>
    <w:rsid w:val="00601B32"/>
    <w:rsid w:val="00601F27"/>
    <w:rsid w:val="0060226A"/>
    <w:rsid w:val="00603C0A"/>
    <w:rsid w:val="0060429B"/>
    <w:rsid w:val="006045B1"/>
    <w:rsid w:val="0060466C"/>
    <w:rsid w:val="00605081"/>
    <w:rsid w:val="00606120"/>
    <w:rsid w:val="00606470"/>
    <w:rsid w:val="006074C8"/>
    <w:rsid w:val="00607669"/>
    <w:rsid w:val="00607C3C"/>
    <w:rsid w:val="00607E4C"/>
    <w:rsid w:val="006108B0"/>
    <w:rsid w:val="0061149A"/>
    <w:rsid w:val="0061156A"/>
    <w:rsid w:val="00611DEE"/>
    <w:rsid w:val="006126DB"/>
    <w:rsid w:val="006129B6"/>
    <w:rsid w:val="00612D1F"/>
    <w:rsid w:val="006137E8"/>
    <w:rsid w:val="006138CA"/>
    <w:rsid w:val="00613D38"/>
    <w:rsid w:val="00614463"/>
    <w:rsid w:val="00614E55"/>
    <w:rsid w:val="0061530C"/>
    <w:rsid w:val="0061533D"/>
    <w:rsid w:val="006154D6"/>
    <w:rsid w:val="00615778"/>
    <w:rsid w:val="00615CF8"/>
    <w:rsid w:val="006160C3"/>
    <w:rsid w:val="006162B3"/>
    <w:rsid w:val="0061657A"/>
    <w:rsid w:val="00616973"/>
    <w:rsid w:val="006173BE"/>
    <w:rsid w:val="00617843"/>
    <w:rsid w:val="00617DD1"/>
    <w:rsid w:val="00620D54"/>
    <w:rsid w:val="00621556"/>
    <w:rsid w:val="00621B62"/>
    <w:rsid w:val="00621FEE"/>
    <w:rsid w:val="006229ED"/>
    <w:rsid w:val="0062363F"/>
    <w:rsid w:val="00623961"/>
    <w:rsid w:val="006248AD"/>
    <w:rsid w:val="00624B85"/>
    <w:rsid w:val="00624C19"/>
    <w:rsid w:val="00625106"/>
    <w:rsid w:val="00625223"/>
    <w:rsid w:val="0062529F"/>
    <w:rsid w:val="006256A1"/>
    <w:rsid w:val="00625BBF"/>
    <w:rsid w:val="006272A7"/>
    <w:rsid w:val="006279C3"/>
    <w:rsid w:val="006307C9"/>
    <w:rsid w:val="0063166B"/>
    <w:rsid w:val="0063308A"/>
    <w:rsid w:val="00633765"/>
    <w:rsid w:val="00633861"/>
    <w:rsid w:val="006339D5"/>
    <w:rsid w:val="00633AC3"/>
    <w:rsid w:val="0063406C"/>
    <w:rsid w:val="006346DF"/>
    <w:rsid w:val="006363B9"/>
    <w:rsid w:val="006378F1"/>
    <w:rsid w:val="00637AC6"/>
    <w:rsid w:val="00637CF2"/>
    <w:rsid w:val="00640594"/>
    <w:rsid w:val="006419D8"/>
    <w:rsid w:val="00641A49"/>
    <w:rsid w:val="006422C9"/>
    <w:rsid w:val="00643EF8"/>
    <w:rsid w:val="006440F1"/>
    <w:rsid w:val="006447E1"/>
    <w:rsid w:val="00644F65"/>
    <w:rsid w:val="00645458"/>
    <w:rsid w:val="006454F5"/>
    <w:rsid w:val="00645AA9"/>
    <w:rsid w:val="00646A45"/>
    <w:rsid w:val="00647689"/>
    <w:rsid w:val="006477BB"/>
    <w:rsid w:val="00650D76"/>
    <w:rsid w:val="00651013"/>
    <w:rsid w:val="00651866"/>
    <w:rsid w:val="006518AB"/>
    <w:rsid w:val="00651E15"/>
    <w:rsid w:val="00652B9D"/>
    <w:rsid w:val="00652C4D"/>
    <w:rsid w:val="00652D3B"/>
    <w:rsid w:val="006531AD"/>
    <w:rsid w:val="0065488D"/>
    <w:rsid w:val="006560D1"/>
    <w:rsid w:val="00656E32"/>
    <w:rsid w:val="0065706E"/>
    <w:rsid w:val="006570FA"/>
    <w:rsid w:val="006578B2"/>
    <w:rsid w:val="00657953"/>
    <w:rsid w:val="0065795E"/>
    <w:rsid w:val="00657E8E"/>
    <w:rsid w:val="006601D5"/>
    <w:rsid w:val="00661ECF"/>
    <w:rsid w:val="0066371C"/>
    <w:rsid w:val="00664774"/>
    <w:rsid w:val="0066501A"/>
    <w:rsid w:val="00665152"/>
    <w:rsid w:val="006655A8"/>
    <w:rsid w:val="0066567B"/>
    <w:rsid w:val="00665914"/>
    <w:rsid w:val="006669F1"/>
    <w:rsid w:val="00666DD2"/>
    <w:rsid w:val="006703FE"/>
    <w:rsid w:val="00670FAD"/>
    <w:rsid w:val="00671666"/>
    <w:rsid w:val="006724AB"/>
    <w:rsid w:val="00673C27"/>
    <w:rsid w:val="00673E11"/>
    <w:rsid w:val="006742DD"/>
    <w:rsid w:val="00675403"/>
    <w:rsid w:val="00675FF2"/>
    <w:rsid w:val="0067721B"/>
    <w:rsid w:val="0067728A"/>
    <w:rsid w:val="00677873"/>
    <w:rsid w:val="00680034"/>
    <w:rsid w:val="006803C8"/>
    <w:rsid w:val="00680504"/>
    <w:rsid w:val="00680D6B"/>
    <w:rsid w:val="0068163C"/>
    <w:rsid w:val="00681A35"/>
    <w:rsid w:val="00681B66"/>
    <w:rsid w:val="00681BAF"/>
    <w:rsid w:val="006822A9"/>
    <w:rsid w:val="00683B65"/>
    <w:rsid w:val="0068457A"/>
    <w:rsid w:val="006845FA"/>
    <w:rsid w:val="00684A04"/>
    <w:rsid w:val="00684CE1"/>
    <w:rsid w:val="0068542C"/>
    <w:rsid w:val="006858FC"/>
    <w:rsid w:val="006860E5"/>
    <w:rsid w:val="0068719D"/>
    <w:rsid w:val="0068729D"/>
    <w:rsid w:val="006877F0"/>
    <w:rsid w:val="00690139"/>
    <w:rsid w:val="00690A1D"/>
    <w:rsid w:val="00690A76"/>
    <w:rsid w:val="00690B54"/>
    <w:rsid w:val="00691AB1"/>
    <w:rsid w:val="006927BC"/>
    <w:rsid w:val="0069465F"/>
    <w:rsid w:val="00694E6F"/>
    <w:rsid w:val="00694FD3"/>
    <w:rsid w:val="006950E1"/>
    <w:rsid w:val="0069600C"/>
    <w:rsid w:val="006969A6"/>
    <w:rsid w:val="00697564"/>
    <w:rsid w:val="00697A07"/>
    <w:rsid w:val="006A0117"/>
    <w:rsid w:val="006A087F"/>
    <w:rsid w:val="006A09C2"/>
    <w:rsid w:val="006A1786"/>
    <w:rsid w:val="006A2013"/>
    <w:rsid w:val="006A21D6"/>
    <w:rsid w:val="006A28FD"/>
    <w:rsid w:val="006A2CC2"/>
    <w:rsid w:val="006A2DF7"/>
    <w:rsid w:val="006A42BD"/>
    <w:rsid w:val="006A477B"/>
    <w:rsid w:val="006A4DC8"/>
    <w:rsid w:val="006A5A4D"/>
    <w:rsid w:val="006A62D5"/>
    <w:rsid w:val="006A7D13"/>
    <w:rsid w:val="006A7F16"/>
    <w:rsid w:val="006B05A4"/>
    <w:rsid w:val="006B1754"/>
    <w:rsid w:val="006B1994"/>
    <w:rsid w:val="006B1B0F"/>
    <w:rsid w:val="006B2BD3"/>
    <w:rsid w:val="006B3513"/>
    <w:rsid w:val="006B371F"/>
    <w:rsid w:val="006B3A54"/>
    <w:rsid w:val="006B3C73"/>
    <w:rsid w:val="006B4057"/>
    <w:rsid w:val="006B4970"/>
    <w:rsid w:val="006B4E7F"/>
    <w:rsid w:val="006B5188"/>
    <w:rsid w:val="006B5B02"/>
    <w:rsid w:val="006B5DE5"/>
    <w:rsid w:val="006C1BE5"/>
    <w:rsid w:val="006C493A"/>
    <w:rsid w:val="006C532F"/>
    <w:rsid w:val="006C5D5B"/>
    <w:rsid w:val="006C5FFD"/>
    <w:rsid w:val="006C697B"/>
    <w:rsid w:val="006C6FB7"/>
    <w:rsid w:val="006C6FE6"/>
    <w:rsid w:val="006C737D"/>
    <w:rsid w:val="006C772B"/>
    <w:rsid w:val="006C7866"/>
    <w:rsid w:val="006C7B8A"/>
    <w:rsid w:val="006C7F83"/>
    <w:rsid w:val="006D0102"/>
    <w:rsid w:val="006D0850"/>
    <w:rsid w:val="006D158A"/>
    <w:rsid w:val="006D1EBF"/>
    <w:rsid w:val="006D28F7"/>
    <w:rsid w:val="006D2D81"/>
    <w:rsid w:val="006D36F3"/>
    <w:rsid w:val="006D41B8"/>
    <w:rsid w:val="006D4BAC"/>
    <w:rsid w:val="006D5925"/>
    <w:rsid w:val="006D5AA5"/>
    <w:rsid w:val="006D6791"/>
    <w:rsid w:val="006D6A54"/>
    <w:rsid w:val="006D6C5D"/>
    <w:rsid w:val="006D6D85"/>
    <w:rsid w:val="006D75B5"/>
    <w:rsid w:val="006D7666"/>
    <w:rsid w:val="006D7A68"/>
    <w:rsid w:val="006D7F91"/>
    <w:rsid w:val="006E04AB"/>
    <w:rsid w:val="006E0E42"/>
    <w:rsid w:val="006E362D"/>
    <w:rsid w:val="006E3F7D"/>
    <w:rsid w:val="006E4783"/>
    <w:rsid w:val="006E51DB"/>
    <w:rsid w:val="006F00D2"/>
    <w:rsid w:val="006F02A2"/>
    <w:rsid w:val="006F1540"/>
    <w:rsid w:val="006F1771"/>
    <w:rsid w:val="006F2231"/>
    <w:rsid w:val="006F2A9F"/>
    <w:rsid w:val="006F4882"/>
    <w:rsid w:val="006F49B6"/>
    <w:rsid w:val="006F5BA5"/>
    <w:rsid w:val="006F6264"/>
    <w:rsid w:val="006F66BB"/>
    <w:rsid w:val="006F7018"/>
    <w:rsid w:val="006F778B"/>
    <w:rsid w:val="0070091C"/>
    <w:rsid w:val="00701A85"/>
    <w:rsid w:val="00702838"/>
    <w:rsid w:val="00702C3A"/>
    <w:rsid w:val="00702CFC"/>
    <w:rsid w:val="00702E85"/>
    <w:rsid w:val="00703565"/>
    <w:rsid w:val="00703868"/>
    <w:rsid w:val="0070459D"/>
    <w:rsid w:val="00704B58"/>
    <w:rsid w:val="00704C91"/>
    <w:rsid w:val="00705E86"/>
    <w:rsid w:val="00705FD8"/>
    <w:rsid w:val="0070699E"/>
    <w:rsid w:val="00706B00"/>
    <w:rsid w:val="007076BF"/>
    <w:rsid w:val="007107B8"/>
    <w:rsid w:val="00711020"/>
    <w:rsid w:val="007116B0"/>
    <w:rsid w:val="00711D73"/>
    <w:rsid w:val="007129E3"/>
    <w:rsid w:val="00713C61"/>
    <w:rsid w:val="00713EC6"/>
    <w:rsid w:val="00714043"/>
    <w:rsid w:val="007154B8"/>
    <w:rsid w:val="00715AC1"/>
    <w:rsid w:val="00716244"/>
    <w:rsid w:val="00716D16"/>
    <w:rsid w:val="0072049E"/>
    <w:rsid w:val="00720507"/>
    <w:rsid w:val="00720531"/>
    <w:rsid w:val="00720D1A"/>
    <w:rsid w:val="007214DE"/>
    <w:rsid w:val="0072218B"/>
    <w:rsid w:val="007224C3"/>
    <w:rsid w:val="00722A21"/>
    <w:rsid w:val="00722A3C"/>
    <w:rsid w:val="00722A69"/>
    <w:rsid w:val="00723D30"/>
    <w:rsid w:val="007240F4"/>
    <w:rsid w:val="007241CA"/>
    <w:rsid w:val="00724E75"/>
    <w:rsid w:val="00725428"/>
    <w:rsid w:val="007260DD"/>
    <w:rsid w:val="00726D60"/>
    <w:rsid w:val="00726DD6"/>
    <w:rsid w:val="007279C4"/>
    <w:rsid w:val="00727A87"/>
    <w:rsid w:val="00727F7E"/>
    <w:rsid w:val="0073092C"/>
    <w:rsid w:val="00730E80"/>
    <w:rsid w:val="007310FD"/>
    <w:rsid w:val="007311A5"/>
    <w:rsid w:val="007324A6"/>
    <w:rsid w:val="00732B24"/>
    <w:rsid w:val="0073308D"/>
    <w:rsid w:val="0073308E"/>
    <w:rsid w:val="00733382"/>
    <w:rsid w:val="00733AC2"/>
    <w:rsid w:val="00733B28"/>
    <w:rsid w:val="007354FC"/>
    <w:rsid w:val="0073612E"/>
    <w:rsid w:val="007361AF"/>
    <w:rsid w:val="007364C7"/>
    <w:rsid w:val="00736738"/>
    <w:rsid w:val="0073716A"/>
    <w:rsid w:val="00740C5D"/>
    <w:rsid w:val="007412B2"/>
    <w:rsid w:val="00741509"/>
    <w:rsid w:val="00741A78"/>
    <w:rsid w:val="007421A1"/>
    <w:rsid w:val="007426BB"/>
    <w:rsid w:val="0074308B"/>
    <w:rsid w:val="0074338D"/>
    <w:rsid w:val="00743E61"/>
    <w:rsid w:val="007445DB"/>
    <w:rsid w:val="00744D01"/>
    <w:rsid w:val="007453B9"/>
    <w:rsid w:val="007457E0"/>
    <w:rsid w:val="00745877"/>
    <w:rsid w:val="0074596E"/>
    <w:rsid w:val="007463AC"/>
    <w:rsid w:val="00747607"/>
    <w:rsid w:val="0074782C"/>
    <w:rsid w:val="00747976"/>
    <w:rsid w:val="00747CA5"/>
    <w:rsid w:val="00747F18"/>
    <w:rsid w:val="00750339"/>
    <w:rsid w:val="00750BB2"/>
    <w:rsid w:val="007512B6"/>
    <w:rsid w:val="007516A5"/>
    <w:rsid w:val="00752518"/>
    <w:rsid w:val="00752A9A"/>
    <w:rsid w:val="0075348E"/>
    <w:rsid w:val="007549B5"/>
    <w:rsid w:val="00755600"/>
    <w:rsid w:val="00755BE2"/>
    <w:rsid w:val="00755F7E"/>
    <w:rsid w:val="0075639E"/>
    <w:rsid w:val="00756F92"/>
    <w:rsid w:val="00757460"/>
    <w:rsid w:val="00757741"/>
    <w:rsid w:val="00757DB4"/>
    <w:rsid w:val="00757F21"/>
    <w:rsid w:val="00760621"/>
    <w:rsid w:val="00761143"/>
    <w:rsid w:val="00761332"/>
    <w:rsid w:val="0076176E"/>
    <w:rsid w:val="00761800"/>
    <w:rsid w:val="007619A2"/>
    <w:rsid w:val="007619CA"/>
    <w:rsid w:val="00761D9A"/>
    <w:rsid w:val="00761EF2"/>
    <w:rsid w:val="00761EFC"/>
    <w:rsid w:val="007627E0"/>
    <w:rsid w:val="00762FF7"/>
    <w:rsid w:val="00763D55"/>
    <w:rsid w:val="00763DC4"/>
    <w:rsid w:val="00764877"/>
    <w:rsid w:val="00764FE6"/>
    <w:rsid w:val="0076571A"/>
    <w:rsid w:val="007657D6"/>
    <w:rsid w:val="0077030F"/>
    <w:rsid w:val="00770D73"/>
    <w:rsid w:val="00770F26"/>
    <w:rsid w:val="007712D6"/>
    <w:rsid w:val="0077169F"/>
    <w:rsid w:val="007717F6"/>
    <w:rsid w:val="00772040"/>
    <w:rsid w:val="007725F3"/>
    <w:rsid w:val="007729ED"/>
    <w:rsid w:val="0077437C"/>
    <w:rsid w:val="00774AC3"/>
    <w:rsid w:val="007753D8"/>
    <w:rsid w:val="0077544D"/>
    <w:rsid w:val="007756B8"/>
    <w:rsid w:val="00775D0D"/>
    <w:rsid w:val="00776752"/>
    <w:rsid w:val="00776E41"/>
    <w:rsid w:val="00776F77"/>
    <w:rsid w:val="00777F5E"/>
    <w:rsid w:val="0078057C"/>
    <w:rsid w:val="00781F67"/>
    <w:rsid w:val="00782F44"/>
    <w:rsid w:val="007831BF"/>
    <w:rsid w:val="00783C14"/>
    <w:rsid w:val="00783EAC"/>
    <w:rsid w:val="007845A5"/>
    <w:rsid w:val="00784D91"/>
    <w:rsid w:val="00784E3E"/>
    <w:rsid w:val="00786F2B"/>
    <w:rsid w:val="0079038E"/>
    <w:rsid w:val="00790BA6"/>
    <w:rsid w:val="007912B8"/>
    <w:rsid w:val="00791C7B"/>
    <w:rsid w:val="0079205C"/>
    <w:rsid w:val="007930DC"/>
    <w:rsid w:val="007935D1"/>
    <w:rsid w:val="00793EA9"/>
    <w:rsid w:val="00793F03"/>
    <w:rsid w:val="00794993"/>
    <w:rsid w:val="007953A0"/>
    <w:rsid w:val="00795CC6"/>
    <w:rsid w:val="00795EFF"/>
    <w:rsid w:val="007971A8"/>
    <w:rsid w:val="0079731C"/>
    <w:rsid w:val="007A11F6"/>
    <w:rsid w:val="007A19C2"/>
    <w:rsid w:val="007A1D47"/>
    <w:rsid w:val="007A2456"/>
    <w:rsid w:val="007A2884"/>
    <w:rsid w:val="007A2BB9"/>
    <w:rsid w:val="007A2ED3"/>
    <w:rsid w:val="007A32D7"/>
    <w:rsid w:val="007A349D"/>
    <w:rsid w:val="007A3770"/>
    <w:rsid w:val="007A3B33"/>
    <w:rsid w:val="007A4B2F"/>
    <w:rsid w:val="007A5380"/>
    <w:rsid w:val="007A61E3"/>
    <w:rsid w:val="007A6A8B"/>
    <w:rsid w:val="007A7BED"/>
    <w:rsid w:val="007A7E7F"/>
    <w:rsid w:val="007B084D"/>
    <w:rsid w:val="007B1C87"/>
    <w:rsid w:val="007B2D1B"/>
    <w:rsid w:val="007B2EFC"/>
    <w:rsid w:val="007B2F49"/>
    <w:rsid w:val="007B2F78"/>
    <w:rsid w:val="007B3797"/>
    <w:rsid w:val="007B5339"/>
    <w:rsid w:val="007B543A"/>
    <w:rsid w:val="007B5758"/>
    <w:rsid w:val="007B60DC"/>
    <w:rsid w:val="007B6631"/>
    <w:rsid w:val="007B71A7"/>
    <w:rsid w:val="007B7600"/>
    <w:rsid w:val="007B7B37"/>
    <w:rsid w:val="007C00CB"/>
    <w:rsid w:val="007C01EE"/>
    <w:rsid w:val="007C0437"/>
    <w:rsid w:val="007C0DE0"/>
    <w:rsid w:val="007C1AE6"/>
    <w:rsid w:val="007C1E3E"/>
    <w:rsid w:val="007C1FD1"/>
    <w:rsid w:val="007C301A"/>
    <w:rsid w:val="007C3C39"/>
    <w:rsid w:val="007C3FC4"/>
    <w:rsid w:val="007C4596"/>
    <w:rsid w:val="007C4991"/>
    <w:rsid w:val="007C4C31"/>
    <w:rsid w:val="007C4E2E"/>
    <w:rsid w:val="007C5750"/>
    <w:rsid w:val="007C690D"/>
    <w:rsid w:val="007C7370"/>
    <w:rsid w:val="007C7EEB"/>
    <w:rsid w:val="007D0B01"/>
    <w:rsid w:val="007D0EC5"/>
    <w:rsid w:val="007D20F6"/>
    <w:rsid w:val="007D2218"/>
    <w:rsid w:val="007D2287"/>
    <w:rsid w:val="007D25D8"/>
    <w:rsid w:val="007D2644"/>
    <w:rsid w:val="007D27CE"/>
    <w:rsid w:val="007D385C"/>
    <w:rsid w:val="007D4301"/>
    <w:rsid w:val="007D4476"/>
    <w:rsid w:val="007D509B"/>
    <w:rsid w:val="007D56EA"/>
    <w:rsid w:val="007D588C"/>
    <w:rsid w:val="007D635B"/>
    <w:rsid w:val="007D6526"/>
    <w:rsid w:val="007D6538"/>
    <w:rsid w:val="007D65A6"/>
    <w:rsid w:val="007D6EAF"/>
    <w:rsid w:val="007D79AD"/>
    <w:rsid w:val="007E1A5A"/>
    <w:rsid w:val="007E1F87"/>
    <w:rsid w:val="007E2AB0"/>
    <w:rsid w:val="007E2C83"/>
    <w:rsid w:val="007E2E97"/>
    <w:rsid w:val="007E3093"/>
    <w:rsid w:val="007E350F"/>
    <w:rsid w:val="007E3BCC"/>
    <w:rsid w:val="007E3FC5"/>
    <w:rsid w:val="007E5912"/>
    <w:rsid w:val="007E5F8B"/>
    <w:rsid w:val="007E6E1C"/>
    <w:rsid w:val="007E7245"/>
    <w:rsid w:val="007E749F"/>
    <w:rsid w:val="007E7E2D"/>
    <w:rsid w:val="007F0158"/>
    <w:rsid w:val="007F1C68"/>
    <w:rsid w:val="007F2675"/>
    <w:rsid w:val="007F365A"/>
    <w:rsid w:val="007F3CCE"/>
    <w:rsid w:val="007F3D7E"/>
    <w:rsid w:val="007F44DC"/>
    <w:rsid w:val="007F4C49"/>
    <w:rsid w:val="007F5464"/>
    <w:rsid w:val="007F5D92"/>
    <w:rsid w:val="007F5E4A"/>
    <w:rsid w:val="007F668B"/>
    <w:rsid w:val="007F6B39"/>
    <w:rsid w:val="007F73CB"/>
    <w:rsid w:val="007F75F1"/>
    <w:rsid w:val="007F7900"/>
    <w:rsid w:val="007F7985"/>
    <w:rsid w:val="00800250"/>
    <w:rsid w:val="008009C4"/>
    <w:rsid w:val="00801B82"/>
    <w:rsid w:val="008022E4"/>
    <w:rsid w:val="0080437F"/>
    <w:rsid w:val="008054E2"/>
    <w:rsid w:val="00806229"/>
    <w:rsid w:val="008078C0"/>
    <w:rsid w:val="00807D8C"/>
    <w:rsid w:val="00807DC1"/>
    <w:rsid w:val="008100C1"/>
    <w:rsid w:val="008102CB"/>
    <w:rsid w:val="00810D84"/>
    <w:rsid w:val="00811DD4"/>
    <w:rsid w:val="00812F33"/>
    <w:rsid w:val="008131F3"/>
    <w:rsid w:val="00813BC7"/>
    <w:rsid w:val="0081410C"/>
    <w:rsid w:val="00814AE7"/>
    <w:rsid w:val="00815B93"/>
    <w:rsid w:val="00815D0A"/>
    <w:rsid w:val="00816501"/>
    <w:rsid w:val="008178E1"/>
    <w:rsid w:val="00817E10"/>
    <w:rsid w:val="008207CA"/>
    <w:rsid w:val="008207D1"/>
    <w:rsid w:val="008208E3"/>
    <w:rsid w:val="00820DC2"/>
    <w:rsid w:val="008219B1"/>
    <w:rsid w:val="008219F1"/>
    <w:rsid w:val="00822968"/>
    <w:rsid w:val="00824536"/>
    <w:rsid w:val="00824D7C"/>
    <w:rsid w:val="00825508"/>
    <w:rsid w:val="00826195"/>
    <w:rsid w:val="00826CAE"/>
    <w:rsid w:val="00826CF6"/>
    <w:rsid w:val="008270D0"/>
    <w:rsid w:val="008272ED"/>
    <w:rsid w:val="0082783C"/>
    <w:rsid w:val="00827D23"/>
    <w:rsid w:val="00830786"/>
    <w:rsid w:val="00830B2A"/>
    <w:rsid w:val="00830BFB"/>
    <w:rsid w:val="00830FF6"/>
    <w:rsid w:val="00831699"/>
    <w:rsid w:val="00831D92"/>
    <w:rsid w:val="00831DE1"/>
    <w:rsid w:val="008323EC"/>
    <w:rsid w:val="008336A0"/>
    <w:rsid w:val="00833799"/>
    <w:rsid w:val="0083426E"/>
    <w:rsid w:val="00834EE2"/>
    <w:rsid w:val="00835998"/>
    <w:rsid w:val="00835FE2"/>
    <w:rsid w:val="00835FFD"/>
    <w:rsid w:val="0083645F"/>
    <w:rsid w:val="008364B5"/>
    <w:rsid w:val="0083675A"/>
    <w:rsid w:val="0083678A"/>
    <w:rsid w:val="00836B7B"/>
    <w:rsid w:val="00837D34"/>
    <w:rsid w:val="00840019"/>
    <w:rsid w:val="00840055"/>
    <w:rsid w:val="008401AF"/>
    <w:rsid w:val="00840374"/>
    <w:rsid w:val="00840A30"/>
    <w:rsid w:val="00840EEB"/>
    <w:rsid w:val="0084106E"/>
    <w:rsid w:val="008410C1"/>
    <w:rsid w:val="00841195"/>
    <w:rsid w:val="008422CB"/>
    <w:rsid w:val="00842972"/>
    <w:rsid w:val="00842F4C"/>
    <w:rsid w:val="0084319A"/>
    <w:rsid w:val="00844B93"/>
    <w:rsid w:val="0084528E"/>
    <w:rsid w:val="008452B1"/>
    <w:rsid w:val="008459D5"/>
    <w:rsid w:val="00845A82"/>
    <w:rsid w:val="00845B2E"/>
    <w:rsid w:val="00845C8D"/>
    <w:rsid w:val="00846B8B"/>
    <w:rsid w:val="0084768C"/>
    <w:rsid w:val="0084799B"/>
    <w:rsid w:val="00847C44"/>
    <w:rsid w:val="00851015"/>
    <w:rsid w:val="008519BC"/>
    <w:rsid w:val="00851AC8"/>
    <w:rsid w:val="00851BDB"/>
    <w:rsid w:val="008521AF"/>
    <w:rsid w:val="0085256F"/>
    <w:rsid w:val="00852E84"/>
    <w:rsid w:val="00852FED"/>
    <w:rsid w:val="008535D5"/>
    <w:rsid w:val="00853829"/>
    <w:rsid w:val="00853E52"/>
    <w:rsid w:val="00854A7B"/>
    <w:rsid w:val="00855945"/>
    <w:rsid w:val="0085614E"/>
    <w:rsid w:val="008564F4"/>
    <w:rsid w:val="008569D8"/>
    <w:rsid w:val="00856D9A"/>
    <w:rsid w:val="00857112"/>
    <w:rsid w:val="00857510"/>
    <w:rsid w:val="008602F9"/>
    <w:rsid w:val="00860AD2"/>
    <w:rsid w:val="00860B63"/>
    <w:rsid w:val="0086158F"/>
    <w:rsid w:val="00861B05"/>
    <w:rsid w:val="008625A7"/>
    <w:rsid w:val="00862A2F"/>
    <w:rsid w:val="00863162"/>
    <w:rsid w:val="008633CB"/>
    <w:rsid w:val="008633F6"/>
    <w:rsid w:val="00864431"/>
    <w:rsid w:val="0086463B"/>
    <w:rsid w:val="00864D65"/>
    <w:rsid w:val="00864ECF"/>
    <w:rsid w:val="008652DC"/>
    <w:rsid w:val="00865911"/>
    <w:rsid w:val="0086594E"/>
    <w:rsid w:val="008659F1"/>
    <w:rsid w:val="00866E65"/>
    <w:rsid w:val="0086723B"/>
    <w:rsid w:val="008722CB"/>
    <w:rsid w:val="008724EA"/>
    <w:rsid w:val="00872711"/>
    <w:rsid w:val="00873653"/>
    <w:rsid w:val="0087471B"/>
    <w:rsid w:val="00875921"/>
    <w:rsid w:val="00876554"/>
    <w:rsid w:val="00876C7C"/>
    <w:rsid w:val="00876F61"/>
    <w:rsid w:val="00877430"/>
    <w:rsid w:val="0088058B"/>
    <w:rsid w:val="00880B58"/>
    <w:rsid w:val="00881709"/>
    <w:rsid w:val="00881A95"/>
    <w:rsid w:val="00881DFC"/>
    <w:rsid w:val="0088255F"/>
    <w:rsid w:val="00883314"/>
    <w:rsid w:val="008836BD"/>
    <w:rsid w:val="00883838"/>
    <w:rsid w:val="00885209"/>
    <w:rsid w:val="008861D2"/>
    <w:rsid w:val="00887144"/>
    <w:rsid w:val="0088718D"/>
    <w:rsid w:val="00887A53"/>
    <w:rsid w:val="00887D38"/>
    <w:rsid w:val="008900F5"/>
    <w:rsid w:val="00890122"/>
    <w:rsid w:val="008905D0"/>
    <w:rsid w:val="0089079C"/>
    <w:rsid w:val="0089082F"/>
    <w:rsid w:val="00891613"/>
    <w:rsid w:val="0089202E"/>
    <w:rsid w:val="008920C6"/>
    <w:rsid w:val="00892967"/>
    <w:rsid w:val="008937EB"/>
    <w:rsid w:val="00893D3D"/>
    <w:rsid w:val="00895299"/>
    <w:rsid w:val="008952F6"/>
    <w:rsid w:val="008956B4"/>
    <w:rsid w:val="00896000"/>
    <w:rsid w:val="0089670E"/>
    <w:rsid w:val="008968BC"/>
    <w:rsid w:val="008977AD"/>
    <w:rsid w:val="008979D0"/>
    <w:rsid w:val="008A028F"/>
    <w:rsid w:val="008A06CB"/>
    <w:rsid w:val="008A125A"/>
    <w:rsid w:val="008A1506"/>
    <w:rsid w:val="008A18D4"/>
    <w:rsid w:val="008A203C"/>
    <w:rsid w:val="008A203E"/>
    <w:rsid w:val="008A3D8E"/>
    <w:rsid w:val="008A4331"/>
    <w:rsid w:val="008A45AC"/>
    <w:rsid w:val="008A469D"/>
    <w:rsid w:val="008A4FAD"/>
    <w:rsid w:val="008A546F"/>
    <w:rsid w:val="008A56C2"/>
    <w:rsid w:val="008A5CD5"/>
    <w:rsid w:val="008A603B"/>
    <w:rsid w:val="008A61F0"/>
    <w:rsid w:val="008A675A"/>
    <w:rsid w:val="008A6EB7"/>
    <w:rsid w:val="008A6F0C"/>
    <w:rsid w:val="008B0E4C"/>
    <w:rsid w:val="008B1705"/>
    <w:rsid w:val="008B1B1F"/>
    <w:rsid w:val="008B28FB"/>
    <w:rsid w:val="008B2B73"/>
    <w:rsid w:val="008B360D"/>
    <w:rsid w:val="008B377E"/>
    <w:rsid w:val="008B383B"/>
    <w:rsid w:val="008B4234"/>
    <w:rsid w:val="008B48C9"/>
    <w:rsid w:val="008B4C59"/>
    <w:rsid w:val="008B4E0E"/>
    <w:rsid w:val="008B5FCB"/>
    <w:rsid w:val="008B69BE"/>
    <w:rsid w:val="008B6DC7"/>
    <w:rsid w:val="008B7090"/>
    <w:rsid w:val="008B76C9"/>
    <w:rsid w:val="008B7CCC"/>
    <w:rsid w:val="008C0C99"/>
    <w:rsid w:val="008C1CF1"/>
    <w:rsid w:val="008C1D6D"/>
    <w:rsid w:val="008C21F4"/>
    <w:rsid w:val="008C286C"/>
    <w:rsid w:val="008C2CFE"/>
    <w:rsid w:val="008C2DDC"/>
    <w:rsid w:val="008C300A"/>
    <w:rsid w:val="008C3363"/>
    <w:rsid w:val="008C4C80"/>
    <w:rsid w:val="008C61D1"/>
    <w:rsid w:val="008C64D6"/>
    <w:rsid w:val="008C6789"/>
    <w:rsid w:val="008C6AF5"/>
    <w:rsid w:val="008C6EB7"/>
    <w:rsid w:val="008C7141"/>
    <w:rsid w:val="008C73DD"/>
    <w:rsid w:val="008D036B"/>
    <w:rsid w:val="008D1F54"/>
    <w:rsid w:val="008D2475"/>
    <w:rsid w:val="008D25DA"/>
    <w:rsid w:val="008D329D"/>
    <w:rsid w:val="008D3DA0"/>
    <w:rsid w:val="008D3EB7"/>
    <w:rsid w:val="008D4567"/>
    <w:rsid w:val="008D4E60"/>
    <w:rsid w:val="008D5A51"/>
    <w:rsid w:val="008D6321"/>
    <w:rsid w:val="008D641D"/>
    <w:rsid w:val="008D6D5E"/>
    <w:rsid w:val="008D742B"/>
    <w:rsid w:val="008D7A75"/>
    <w:rsid w:val="008D7E5A"/>
    <w:rsid w:val="008D7F14"/>
    <w:rsid w:val="008E153B"/>
    <w:rsid w:val="008E28EA"/>
    <w:rsid w:val="008E3479"/>
    <w:rsid w:val="008E3513"/>
    <w:rsid w:val="008E4E00"/>
    <w:rsid w:val="008E588A"/>
    <w:rsid w:val="008E59E8"/>
    <w:rsid w:val="008E6CB4"/>
    <w:rsid w:val="008E719E"/>
    <w:rsid w:val="008E752A"/>
    <w:rsid w:val="008E78A7"/>
    <w:rsid w:val="008E7903"/>
    <w:rsid w:val="008F1202"/>
    <w:rsid w:val="008F1582"/>
    <w:rsid w:val="008F1958"/>
    <w:rsid w:val="008F222B"/>
    <w:rsid w:val="008F2243"/>
    <w:rsid w:val="008F245B"/>
    <w:rsid w:val="008F3380"/>
    <w:rsid w:val="008F53D3"/>
    <w:rsid w:val="008F740F"/>
    <w:rsid w:val="008F7B86"/>
    <w:rsid w:val="008F7D70"/>
    <w:rsid w:val="008F7F90"/>
    <w:rsid w:val="00900125"/>
    <w:rsid w:val="00901AC0"/>
    <w:rsid w:val="00901DC6"/>
    <w:rsid w:val="00901EF2"/>
    <w:rsid w:val="009026E5"/>
    <w:rsid w:val="00903241"/>
    <w:rsid w:val="00903C04"/>
    <w:rsid w:val="009052CF"/>
    <w:rsid w:val="009073E9"/>
    <w:rsid w:val="0091022E"/>
    <w:rsid w:val="00910DFA"/>
    <w:rsid w:val="00911322"/>
    <w:rsid w:val="00911D22"/>
    <w:rsid w:val="009121A4"/>
    <w:rsid w:val="0091241B"/>
    <w:rsid w:val="00912992"/>
    <w:rsid w:val="009129F8"/>
    <w:rsid w:val="00912F03"/>
    <w:rsid w:val="00912FA7"/>
    <w:rsid w:val="009130C7"/>
    <w:rsid w:val="00913213"/>
    <w:rsid w:val="0091386F"/>
    <w:rsid w:val="00915263"/>
    <w:rsid w:val="0091567B"/>
    <w:rsid w:val="0091573C"/>
    <w:rsid w:val="00915E8F"/>
    <w:rsid w:val="00916AA1"/>
    <w:rsid w:val="00916DA3"/>
    <w:rsid w:val="009175DE"/>
    <w:rsid w:val="00917C93"/>
    <w:rsid w:val="00917D67"/>
    <w:rsid w:val="00920234"/>
    <w:rsid w:val="009207DD"/>
    <w:rsid w:val="00920D65"/>
    <w:rsid w:val="0092159A"/>
    <w:rsid w:val="009215FF"/>
    <w:rsid w:val="00921D5A"/>
    <w:rsid w:val="009224C7"/>
    <w:rsid w:val="009226CE"/>
    <w:rsid w:val="00922749"/>
    <w:rsid w:val="00922BC0"/>
    <w:rsid w:val="00923049"/>
    <w:rsid w:val="0092396F"/>
    <w:rsid w:val="00923B2D"/>
    <w:rsid w:val="009245AB"/>
    <w:rsid w:val="00924E92"/>
    <w:rsid w:val="00925096"/>
    <w:rsid w:val="009253A2"/>
    <w:rsid w:val="009256A8"/>
    <w:rsid w:val="009263DD"/>
    <w:rsid w:val="00926610"/>
    <w:rsid w:val="00926DD1"/>
    <w:rsid w:val="00927460"/>
    <w:rsid w:val="009275A5"/>
    <w:rsid w:val="00927A8A"/>
    <w:rsid w:val="00927C0C"/>
    <w:rsid w:val="00930025"/>
    <w:rsid w:val="00930485"/>
    <w:rsid w:val="00930B10"/>
    <w:rsid w:val="00930DAB"/>
    <w:rsid w:val="00931F61"/>
    <w:rsid w:val="009324F7"/>
    <w:rsid w:val="00933261"/>
    <w:rsid w:val="0093445F"/>
    <w:rsid w:val="00934682"/>
    <w:rsid w:val="009354BE"/>
    <w:rsid w:val="00936D6C"/>
    <w:rsid w:val="0093762B"/>
    <w:rsid w:val="00937DE8"/>
    <w:rsid w:val="0094346E"/>
    <w:rsid w:val="00943546"/>
    <w:rsid w:val="00943A82"/>
    <w:rsid w:val="009443F4"/>
    <w:rsid w:val="009446CE"/>
    <w:rsid w:val="009453FC"/>
    <w:rsid w:val="0094547C"/>
    <w:rsid w:val="0094630E"/>
    <w:rsid w:val="009465A4"/>
    <w:rsid w:val="00946879"/>
    <w:rsid w:val="0094721B"/>
    <w:rsid w:val="009472BE"/>
    <w:rsid w:val="00950080"/>
    <w:rsid w:val="00950CC8"/>
    <w:rsid w:val="0095101D"/>
    <w:rsid w:val="0095101E"/>
    <w:rsid w:val="009510FB"/>
    <w:rsid w:val="0095171F"/>
    <w:rsid w:val="00952128"/>
    <w:rsid w:val="00952447"/>
    <w:rsid w:val="00954C62"/>
    <w:rsid w:val="00954EAE"/>
    <w:rsid w:val="009565A2"/>
    <w:rsid w:val="009602B7"/>
    <w:rsid w:val="009615E2"/>
    <w:rsid w:val="00961683"/>
    <w:rsid w:val="0096236A"/>
    <w:rsid w:val="00962737"/>
    <w:rsid w:val="0096273D"/>
    <w:rsid w:val="0096296B"/>
    <w:rsid w:val="00962DC0"/>
    <w:rsid w:val="009637F3"/>
    <w:rsid w:val="00963B60"/>
    <w:rsid w:val="00964C14"/>
    <w:rsid w:val="00965402"/>
    <w:rsid w:val="00965AA0"/>
    <w:rsid w:val="00965C17"/>
    <w:rsid w:val="00965DA4"/>
    <w:rsid w:val="00965FAB"/>
    <w:rsid w:val="009660D6"/>
    <w:rsid w:val="0096646E"/>
    <w:rsid w:val="00966B74"/>
    <w:rsid w:val="009706A0"/>
    <w:rsid w:val="00970A5B"/>
    <w:rsid w:val="00970B0B"/>
    <w:rsid w:val="00970B19"/>
    <w:rsid w:val="00970C6B"/>
    <w:rsid w:val="009713A5"/>
    <w:rsid w:val="00971943"/>
    <w:rsid w:val="00972575"/>
    <w:rsid w:val="00973FDD"/>
    <w:rsid w:val="00974208"/>
    <w:rsid w:val="009759CC"/>
    <w:rsid w:val="009778FF"/>
    <w:rsid w:val="00977F6A"/>
    <w:rsid w:val="00980067"/>
    <w:rsid w:val="00980668"/>
    <w:rsid w:val="0098072E"/>
    <w:rsid w:val="00980D95"/>
    <w:rsid w:val="00980F4A"/>
    <w:rsid w:val="009810BF"/>
    <w:rsid w:val="00981D9F"/>
    <w:rsid w:val="009827E0"/>
    <w:rsid w:val="009834B5"/>
    <w:rsid w:val="009851F3"/>
    <w:rsid w:val="00985B3A"/>
    <w:rsid w:val="00986F9D"/>
    <w:rsid w:val="00987981"/>
    <w:rsid w:val="00987BBD"/>
    <w:rsid w:val="0099003F"/>
    <w:rsid w:val="009901F5"/>
    <w:rsid w:val="009906DE"/>
    <w:rsid w:val="00990725"/>
    <w:rsid w:val="00991712"/>
    <w:rsid w:val="0099234C"/>
    <w:rsid w:val="0099268C"/>
    <w:rsid w:val="00992814"/>
    <w:rsid w:val="009938ED"/>
    <w:rsid w:val="00993C91"/>
    <w:rsid w:val="009948E9"/>
    <w:rsid w:val="00994A04"/>
    <w:rsid w:val="00994CBF"/>
    <w:rsid w:val="00994CC7"/>
    <w:rsid w:val="00994E54"/>
    <w:rsid w:val="00994F45"/>
    <w:rsid w:val="00995498"/>
    <w:rsid w:val="00995D37"/>
    <w:rsid w:val="009967BC"/>
    <w:rsid w:val="00996EC4"/>
    <w:rsid w:val="00997851"/>
    <w:rsid w:val="0099796D"/>
    <w:rsid w:val="009A2F71"/>
    <w:rsid w:val="009A36CB"/>
    <w:rsid w:val="009A3C4D"/>
    <w:rsid w:val="009A3F0B"/>
    <w:rsid w:val="009A3FED"/>
    <w:rsid w:val="009A4DE1"/>
    <w:rsid w:val="009A5347"/>
    <w:rsid w:val="009A6643"/>
    <w:rsid w:val="009A6792"/>
    <w:rsid w:val="009A6B57"/>
    <w:rsid w:val="009A6DE6"/>
    <w:rsid w:val="009A7CED"/>
    <w:rsid w:val="009B030C"/>
    <w:rsid w:val="009B043D"/>
    <w:rsid w:val="009B1A10"/>
    <w:rsid w:val="009B30F0"/>
    <w:rsid w:val="009B3F9B"/>
    <w:rsid w:val="009B471B"/>
    <w:rsid w:val="009B4D78"/>
    <w:rsid w:val="009B5185"/>
    <w:rsid w:val="009B5B54"/>
    <w:rsid w:val="009B7217"/>
    <w:rsid w:val="009B78D5"/>
    <w:rsid w:val="009B7A3D"/>
    <w:rsid w:val="009B7D25"/>
    <w:rsid w:val="009B7F62"/>
    <w:rsid w:val="009C016B"/>
    <w:rsid w:val="009C04FC"/>
    <w:rsid w:val="009C0546"/>
    <w:rsid w:val="009C17F6"/>
    <w:rsid w:val="009C1D1E"/>
    <w:rsid w:val="009C48B3"/>
    <w:rsid w:val="009C5238"/>
    <w:rsid w:val="009C5AB2"/>
    <w:rsid w:val="009C74B6"/>
    <w:rsid w:val="009C7544"/>
    <w:rsid w:val="009C7C55"/>
    <w:rsid w:val="009D096C"/>
    <w:rsid w:val="009D0A64"/>
    <w:rsid w:val="009D1A35"/>
    <w:rsid w:val="009D1A77"/>
    <w:rsid w:val="009D2C8F"/>
    <w:rsid w:val="009D2E52"/>
    <w:rsid w:val="009D2E85"/>
    <w:rsid w:val="009D319B"/>
    <w:rsid w:val="009D3304"/>
    <w:rsid w:val="009D3DAC"/>
    <w:rsid w:val="009D4272"/>
    <w:rsid w:val="009D443E"/>
    <w:rsid w:val="009D59C0"/>
    <w:rsid w:val="009D6103"/>
    <w:rsid w:val="009D633F"/>
    <w:rsid w:val="009D63A4"/>
    <w:rsid w:val="009D6C83"/>
    <w:rsid w:val="009D6E11"/>
    <w:rsid w:val="009D6FD4"/>
    <w:rsid w:val="009D7F0B"/>
    <w:rsid w:val="009E0C94"/>
    <w:rsid w:val="009E0E32"/>
    <w:rsid w:val="009E121D"/>
    <w:rsid w:val="009E1222"/>
    <w:rsid w:val="009E12CF"/>
    <w:rsid w:val="009E1A32"/>
    <w:rsid w:val="009E1ED1"/>
    <w:rsid w:val="009E229A"/>
    <w:rsid w:val="009E2587"/>
    <w:rsid w:val="009E3FE4"/>
    <w:rsid w:val="009E628F"/>
    <w:rsid w:val="009E63F5"/>
    <w:rsid w:val="009E6899"/>
    <w:rsid w:val="009E6CFB"/>
    <w:rsid w:val="009E6D4C"/>
    <w:rsid w:val="009E77D4"/>
    <w:rsid w:val="009E7DAB"/>
    <w:rsid w:val="009F0599"/>
    <w:rsid w:val="009F0B26"/>
    <w:rsid w:val="009F3441"/>
    <w:rsid w:val="009F3681"/>
    <w:rsid w:val="009F3D7E"/>
    <w:rsid w:val="009F4A1C"/>
    <w:rsid w:val="009F4ACA"/>
    <w:rsid w:val="009F5330"/>
    <w:rsid w:val="009F53BA"/>
    <w:rsid w:val="009F5CC0"/>
    <w:rsid w:val="009F5CD1"/>
    <w:rsid w:val="009F63C0"/>
    <w:rsid w:val="009F73E3"/>
    <w:rsid w:val="009F79F9"/>
    <w:rsid w:val="00A010CA"/>
    <w:rsid w:val="00A01129"/>
    <w:rsid w:val="00A01C30"/>
    <w:rsid w:val="00A01F99"/>
    <w:rsid w:val="00A027A5"/>
    <w:rsid w:val="00A029D6"/>
    <w:rsid w:val="00A02D5E"/>
    <w:rsid w:val="00A034F0"/>
    <w:rsid w:val="00A03C55"/>
    <w:rsid w:val="00A03EDE"/>
    <w:rsid w:val="00A0409E"/>
    <w:rsid w:val="00A0498A"/>
    <w:rsid w:val="00A04C4B"/>
    <w:rsid w:val="00A04D23"/>
    <w:rsid w:val="00A05223"/>
    <w:rsid w:val="00A052D7"/>
    <w:rsid w:val="00A068DB"/>
    <w:rsid w:val="00A076AE"/>
    <w:rsid w:val="00A1011E"/>
    <w:rsid w:val="00A117FE"/>
    <w:rsid w:val="00A11D7C"/>
    <w:rsid w:val="00A1214C"/>
    <w:rsid w:val="00A12730"/>
    <w:rsid w:val="00A12E90"/>
    <w:rsid w:val="00A131CE"/>
    <w:rsid w:val="00A14B5F"/>
    <w:rsid w:val="00A1676E"/>
    <w:rsid w:val="00A1692B"/>
    <w:rsid w:val="00A16A97"/>
    <w:rsid w:val="00A17D13"/>
    <w:rsid w:val="00A2051E"/>
    <w:rsid w:val="00A2108C"/>
    <w:rsid w:val="00A22500"/>
    <w:rsid w:val="00A225F2"/>
    <w:rsid w:val="00A22C5F"/>
    <w:rsid w:val="00A23006"/>
    <w:rsid w:val="00A230CD"/>
    <w:rsid w:val="00A2415A"/>
    <w:rsid w:val="00A24444"/>
    <w:rsid w:val="00A2458A"/>
    <w:rsid w:val="00A24D46"/>
    <w:rsid w:val="00A264BA"/>
    <w:rsid w:val="00A26980"/>
    <w:rsid w:val="00A26FC2"/>
    <w:rsid w:val="00A27EB0"/>
    <w:rsid w:val="00A30EA8"/>
    <w:rsid w:val="00A314BE"/>
    <w:rsid w:val="00A316EB"/>
    <w:rsid w:val="00A31794"/>
    <w:rsid w:val="00A324C5"/>
    <w:rsid w:val="00A33156"/>
    <w:rsid w:val="00A340CA"/>
    <w:rsid w:val="00A343E0"/>
    <w:rsid w:val="00A34D2C"/>
    <w:rsid w:val="00A352EB"/>
    <w:rsid w:val="00A3660D"/>
    <w:rsid w:val="00A36DA1"/>
    <w:rsid w:val="00A374D1"/>
    <w:rsid w:val="00A37FA1"/>
    <w:rsid w:val="00A400D4"/>
    <w:rsid w:val="00A40B0F"/>
    <w:rsid w:val="00A4179D"/>
    <w:rsid w:val="00A417A7"/>
    <w:rsid w:val="00A418B1"/>
    <w:rsid w:val="00A418F0"/>
    <w:rsid w:val="00A41934"/>
    <w:rsid w:val="00A41968"/>
    <w:rsid w:val="00A422F2"/>
    <w:rsid w:val="00A429E4"/>
    <w:rsid w:val="00A43984"/>
    <w:rsid w:val="00A43D1E"/>
    <w:rsid w:val="00A44561"/>
    <w:rsid w:val="00A4573F"/>
    <w:rsid w:val="00A45A06"/>
    <w:rsid w:val="00A45D3E"/>
    <w:rsid w:val="00A462F0"/>
    <w:rsid w:val="00A47D39"/>
    <w:rsid w:val="00A47E28"/>
    <w:rsid w:val="00A50625"/>
    <w:rsid w:val="00A50646"/>
    <w:rsid w:val="00A50666"/>
    <w:rsid w:val="00A50ECC"/>
    <w:rsid w:val="00A512B8"/>
    <w:rsid w:val="00A51806"/>
    <w:rsid w:val="00A51AA6"/>
    <w:rsid w:val="00A52084"/>
    <w:rsid w:val="00A524AB"/>
    <w:rsid w:val="00A52618"/>
    <w:rsid w:val="00A5409A"/>
    <w:rsid w:val="00A54797"/>
    <w:rsid w:val="00A54EF1"/>
    <w:rsid w:val="00A54F88"/>
    <w:rsid w:val="00A55D2B"/>
    <w:rsid w:val="00A55D4B"/>
    <w:rsid w:val="00A5728D"/>
    <w:rsid w:val="00A57519"/>
    <w:rsid w:val="00A57630"/>
    <w:rsid w:val="00A60A02"/>
    <w:rsid w:val="00A61A94"/>
    <w:rsid w:val="00A62076"/>
    <w:rsid w:val="00A629CF"/>
    <w:rsid w:val="00A63701"/>
    <w:rsid w:val="00A63815"/>
    <w:rsid w:val="00A63DE4"/>
    <w:rsid w:val="00A64FD7"/>
    <w:rsid w:val="00A6502F"/>
    <w:rsid w:val="00A650C0"/>
    <w:rsid w:val="00A66D51"/>
    <w:rsid w:val="00A67D77"/>
    <w:rsid w:val="00A70344"/>
    <w:rsid w:val="00A707D4"/>
    <w:rsid w:val="00A7124E"/>
    <w:rsid w:val="00A7229D"/>
    <w:rsid w:val="00A73F5B"/>
    <w:rsid w:val="00A75208"/>
    <w:rsid w:val="00A7522D"/>
    <w:rsid w:val="00A76821"/>
    <w:rsid w:val="00A76AC0"/>
    <w:rsid w:val="00A76B77"/>
    <w:rsid w:val="00A80760"/>
    <w:rsid w:val="00A813C6"/>
    <w:rsid w:val="00A81AE5"/>
    <w:rsid w:val="00A82510"/>
    <w:rsid w:val="00A82934"/>
    <w:rsid w:val="00A82E5A"/>
    <w:rsid w:val="00A83756"/>
    <w:rsid w:val="00A83B22"/>
    <w:rsid w:val="00A843E8"/>
    <w:rsid w:val="00A84853"/>
    <w:rsid w:val="00A85379"/>
    <w:rsid w:val="00A857A5"/>
    <w:rsid w:val="00A86D74"/>
    <w:rsid w:val="00A8761C"/>
    <w:rsid w:val="00A90312"/>
    <w:rsid w:val="00A91862"/>
    <w:rsid w:val="00A934E1"/>
    <w:rsid w:val="00A93E4E"/>
    <w:rsid w:val="00A95146"/>
    <w:rsid w:val="00A95277"/>
    <w:rsid w:val="00A9599A"/>
    <w:rsid w:val="00A95EF0"/>
    <w:rsid w:val="00A96161"/>
    <w:rsid w:val="00A9652D"/>
    <w:rsid w:val="00A96BA9"/>
    <w:rsid w:val="00AA052D"/>
    <w:rsid w:val="00AA119A"/>
    <w:rsid w:val="00AA11DD"/>
    <w:rsid w:val="00AA1295"/>
    <w:rsid w:val="00AA1463"/>
    <w:rsid w:val="00AA1DA8"/>
    <w:rsid w:val="00AA1E11"/>
    <w:rsid w:val="00AA1F02"/>
    <w:rsid w:val="00AA2351"/>
    <w:rsid w:val="00AA2663"/>
    <w:rsid w:val="00AA2F88"/>
    <w:rsid w:val="00AA46EA"/>
    <w:rsid w:val="00AA576D"/>
    <w:rsid w:val="00AA5A19"/>
    <w:rsid w:val="00AA64C0"/>
    <w:rsid w:val="00AA757F"/>
    <w:rsid w:val="00AA78A6"/>
    <w:rsid w:val="00AB09E9"/>
    <w:rsid w:val="00AB0DE2"/>
    <w:rsid w:val="00AB0F0C"/>
    <w:rsid w:val="00AB0F9E"/>
    <w:rsid w:val="00AB1B7B"/>
    <w:rsid w:val="00AB1C24"/>
    <w:rsid w:val="00AB1D9A"/>
    <w:rsid w:val="00AB2941"/>
    <w:rsid w:val="00AB30DC"/>
    <w:rsid w:val="00AB32AB"/>
    <w:rsid w:val="00AB4156"/>
    <w:rsid w:val="00AB4247"/>
    <w:rsid w:val="00AB4579"/>
    <w:rsid w:val="00AB51F2"/>
    <w:rsid w:val="00AB5278"/>
    <w:rsid w:val="00AB5282"/>
    <w:rsid w:val="00AB5C0B"/>
    <w:rsid w:val="00AB6360"/>
    <w:rsid w:val="00AB714C"/>
    <w:rsid w:val="00AB757A"/>
    <w:rsid w:val="00AB77AA"/>
    <w:rsid w:val="00AB79C0"/>
    <w:rsid w:val="00AB7FB0"/>
    <w:rsid w:val="00AC07CA"/>
    <w:rsid w:val="00AC1E3B"/>
    <w:rsid w:val="00AC296F"/>
    <w:rsid w:val="00AC2B0D"/>
    <w:rsid w:val="00AC2CCB"/>
    <w:rsid w:val="00AC39E1"/>
    <w:rsid w:val="00AC3BC7"/>
    <w:rsid w:val="00AC40D4"/>
    <w:rsid w:val="00AC4A71"/>
    <w:rsid w:val="00AC5581"/>
    <w:rsid w:val="00AC5A71"/>
    <w:rsid w:val="00AC5AD0"/>
    <w:rsid w:val="00AC5D91"/>
    <w:rsid w:val="00AC62E9"/>
    <w:rsid w:val="00AC6A94"/>
    <w:rsid w:val="00AC6DCA"/>
    <w:rsid w:val="00AC6ECD"/>
    <w:rsid w:val="00AC7029"/>
    <w:rsid w:val="00AC71B9"/>
    <w:rsid w:val="00AC750E"/>
    <w:rsid w:val="00AC7B99"/>
    <w:rsid w:val="00AD1506"/>
    <w:rsid w:val="00AD1698"/>
    <w:rsid w:val="00AD1C94"/>
    <w:rsid w:val="00AD203C"/>
    <w:rsid w:val="00AD20AB"/>
    <w:rsid w:val="00AD219D"/>
    <w:rsid w:val="00AD22D2"/>
    <w:rsid w:val="00AD2E50"/>
    <w:rsid w:val="00AD2E64"/>
    <w:rsid w:val="00AD3835"/>
    <w:rsid w:val="00AD49A2"/>
    <w:rsid w:val="00AD562D"/>
    <w:rsid w:val="00AD56F3"/>
    <w:rsid w:val="00AD5F26"/>
    <w:rsid w:val="00AD6A83"/>
    <w:rsid w:val="00AD6AA2"/>
    <w:rsid w:val="00AD7969"/>
    <w:rsid w:val="00AE09B6"/>
    <w:rsid w:val="00AE0B2C"/>
    <w:rsid w:val="00AE0DB8"/>
    <w:rsid w:val="00AE0F92"/>
    <w:rsid w:val="00AE0FEE"/>
    <w:rsid w:val="00AE12DC"/>
    <w:rsid w:val="00AE1AA5"/>
    <w:rsid w:val="00AE1CA4"/>
    <w:rsid w:val="00AE25ED"/>
    <w:rsid w:val="00AE2867"/>
    <w:rsid w:val="00AE299B"/>
    <w:rsid w:val="00AE2EEF"/>
    <w:rsid w:val="00AE3300"/>
    <w:rsid w:val="00AE3871"/>
    <w:rsid w:val="00AE3B53"/>
    <w:rsid w:val="00AE3EFC"/>
    <w:rsid w:val="00AE48E3"/>
    <w:rsid w:val="00AE5E7F"/>
    <w:rsid w:val="00AE625D"/>
    <w:rsid w:val="00AE6A2A"/>
    <w:rsid w:val="00AE6DFB"/>
    <w:rsid w:val="00AE7021"/>
    <w:rsid w:val="00AE70CF"/>
    <w:rsid w:val="00AE7A65"/>
    <w:rsid w:val="00AE7AFF"/>
    <w:rsid w:val="00AE7CB9"/>
    <w:rsid w:val="00AE7CD8"/>
    <w:rsid w:val="00AE7D20"/>
    <w:rsid w:val="00AF0095"/>
    <w:rsid w:val="00AF04BD"/>
    <w:rsid w:val="00AF04CC"/>
    <w:rsid w:val="00AF1097"/>
    <w:rsid w:val="00AF1732"/>
    <w:rsid w:val="00AF1806"/>
    <w:rsid w:val="00AF1B4D"/>
    <w:rsid w:val="00AF30A3"/>
    <w:rsid w:val="00AF342D"/>
    <w:rsid w:val="00AF50DE"/>
    <w:rsid w:val="00AF5AB3"/>
    <w:rsid w:val="00AF6AE4"/>
    <w:rsid w:val="00AF6B34"/>
    <w:rsid w:val="00AF6FF0"/>
    <w:rsid w:val="00AF709D"/>
    <w:rsid w:val="00B011DA"/>
    <w:rsid w:val="00B01543"/>
    <w:rsid w:val="00B0185E"/>
    <w:rsid w:val="00B0288E"/>
    <w:rsid w:val="00B03E98"/>
    <w:rsid w:val="00B041E1"/>
    <w:rsid w:val="00B04215"/>
    <w:rsid w:val="00B0497A"/>
    <w:rsid w:val="00B0559B"/>
    <w:rsid w:val="00B0564B"/>
    <w:rsid w:val="00B056B7"/>
    <w:rsid w:val="00B06432"/>
    <w:rsid w:val="00B06A3E"/>
    <w:rsid w:val="00B074EE"/>
    <w:rsid w:val="00B076FE"/>
    <w:rsid w:val="00B10204"/>
    <w:rsid w:val="00B11D57"/>
    <w:rsid w:val="00B12D34"/>
    <w:rsid w:val="00B12E4B"/>
    <w:rsid w:val="00B12EF9"/>
    <w:rsid w:val="00B12FF2"/>
    <w:rsid w:val="00B133B5"/>
    <w:rsid w:val="00B13449"/>
    <w:rsid w:val="00B13503"/>
    <w:rsid w:val="00B14430"/>
    <w:rsid w:val="00B14958"/>
    <w:rsid w:val="00B14E90"/>
    <w:rsid w:val="00B15C28"/>
    <w:rsid w:val="00B15D00"/>
    <w:rsid w:val="00B15EA8"/>
    <w:rsid w:val="00B16C6F"/>
    <w:rsid w:val="00B17193"/>
    <w:rsid w:val="00B17407"/>
    <w:rsid w:val="00B1748E"/>
    <w:rsid w:val="00B178CC"/>
    <w:rsid w:val="00B17A3C"/>
    <w:rsid w:val="00B17B6D"/>
    <w:rsid w:val="00B2041A"/>
    <w:rsid w:val="00B20A33"/>
    <w:rsid w:val="00B20AE2"/>
    <w:rsid w:val="00B2121A"/>
    <w:rsid w:val="00B217C1"/>
    <w:rsid w:val="00B21F6E"/>
    <w:rsid w:val="00B234F1"/>
    <w:rsid w:val="00B237C1"/>
    <w:rsid w:val="00B246C6"/>
    <w:rsid w:val="00B24A50"/>
    <w:rsid w:val="00B24D01"/>
    <w:rsid w:val="00B24D22"/>
    <w:rsid w:val="00B251D3"/>
    <w:rsid w:val="00B25279"/>
    <w:rsid w:val="00B2542E"/>
    <w:rsid w:val="00B2646B"/>
    <w:rsid w:val="00B26728"/>
    <w:rsid w:val="00B26D22"/>
    <w:rsid w:val="00B27155"/>
    <w:rsid w:val="00B2787B"/>
    <w:rsid w:val="00B27AE3"/>
    <w:rsid w:val="00B27B9F"/>
    <w:rsid w:val="00B30051"/>
    <w:rsid w:val="00B30A89"/>
    <w:rsid w:val="00B30FAC"/>
    <w:rsid w:val="00B31169"/>
    <w:rsid w:val="00B314CE"/>
    <w:rsid w:val="00B31A97"/>
    <w:rsid w:val="00B32935"/>
    <w:rsid w:val="00B32A07"/>
    <w:rsid w:val="00B33A65"/>
    <w:rsid w:val="00B34230"/>
    <w:rsid w:val="00B344D8"/>
    <w:rsid w:val="00B34B93"/>
    <w:rsid w:val="00B35AA7"/>
    <w:rsid w:val="00B35CF5"/>
    <w:rsid w:val="00B3605F"/>
    <w:rsid w:val="00B36B8E"/>
    <w:rsid w:val="00B404B3"/>
    <w:rsid w:val="00B404F9"/>
    <w:rsid w:val="00B40696"/>
    <w:rsid w:val="00B40808"/>
    <w:rsid w:val="00B40848"/>
    <w:rsid w:val="00B40C8D"/>
    <w:rsid w:val="00B41761"/>
    <w:rsid w:val="00B43D86"/>
    <w:rsid w:val="00B454B6"/>
    <w:rsid w:val="00B4582A"/>
    <w:rsid w:val="00B45CA1"/>
    <w:rsid w:val="00B46FC6"/>
    <w:rsid w:val="00B51361"/>
    <w:rsid w:val="00B529A9"/>
    <w:rsid w:val="00B52BAA"/>
    <w:rsid w:val="00B52E4F"/>
    <w:rsid w:val="00B52F24"/>
    <w:rsid w:val="00B52F97"/>
    <w:rsid w:val="00B5363B"/>
    <w:rsid w:val="00B5380A"/>
    <w:rsid w:val="00B53B94"/>
    <w:rsid w:val="00B545FF"/>
    <w:rsid w:val="00B54630"/>
    <w:rsid w:val="00B54E3A"/>
    <w:rsid w:val="00B5533B"/>
    <w:rsid w:val="00B55997"/>
    <w:rsid w:val="00B568EA"/>
    <w:rsid w:val="00B56BFF"/>
    <w:rsid w:val="00B57C1B"/>
    <w:rsid w:val="00B60E7C"/>
    <w:rsid w:val="00B60F09"/>
    <w:rsid w:val="00B6134F"/>
    <w:rsid w:val="00B61D28"/>
    <w:rsid w:val="00B63CB2"/>
    <w:rsid w:val="00B64A8D"/>
    <w:rsid w:val="00B64DF4"/>
    <w:rsid w:val="00B650E5"/>
    <w:rsid w:val="00B65660"/>
    <w:rsid w:val="00B65DD3"/>
    <w:rsid w:val="00B65E75"/>
    <w:rsid w:val="00B66B5E"/>
    <w:rsid w:val="00B66CEF"/>
    <w:rsid w:val="00B675BF"/>
    <w:rsid w:val="00B675CC"/>
    <w:rsid w:val="00B6760A"/>
    <w:rsid w:val="00B6760E"/>
    <w:rsid w:val="00B67905"/>
    <w:rsid w:val="00B7007B"/>
    <w:rsid w:val="00B70322"/>
    <w:rsid w:val="00B71601"/>
    <w:rsid w:val="00B71A46"/>
    <w:rsid w:val="00B71D91"/>
    <w:rsid w:val="00B72745"/>
    <w:rsid w:val="00B729E3"/>
    <w:rsid w:val="00B73042"/>
    <w:rsid w:val="00B7331B"/>
    <w:rsid w:val="00B73731"/>
    <w:rsid w:val="00B738E6"/>
    <w:rsid w:val="00B73AA7"/>
    <w:rsid w:val="00B743D5"/>
    <w:rsid w:val="00B74EEB"/>
    <w:rsid w:val="00B75284"/>
    <w:rsid w:val="00B75C0E"/>
    <w:rsid w:val="00B76DCF"/>
    <w:rsid w:val="00B77A95"/>
    <w:rsid w:val="00B77C82"/>
    <w:rsid w:val="00B8002B"/>
    <w:rsid w:val="00B80599"/>
    <w:rsid w:val="00B805F6"/>
    <w:rsid w:val="00B80B15"/>
    <w:rsid w:val="00B80FA5"/>
    <w:rsid w:val="00B81D15"/>
    <w:rsid w:val="00B825F3"/>
    <w:rsid w:val="00B82A4B"/>
    <w:rsid w:val="00B87344"/>
    <w:rsid w:val="00B87D3E"/>
    <w:rsid w:val="00B911E2"/>
    <w:rsid w:val="00B9233C"/>
    <w:rsid w:val="00B923F2"/>
    <w:rsid w:val="00B932AF"/>
    <w:rsid w:val="00B9338F"/>
    <w:rsid w:val="00B93832"/>
    <w:rsid w:val="00B93F8A"/>
    <w:rsid w:val="00B94190"/>
    <w:rsid w:val="00B941C7"/>
    <w:rsid w:val="00B941E6"/>
    <w:rsid w:val="00B94414"/>
    <w:rsid w:val="00B94921"/>
    <w:rsid w:val="00B9625A"/>
    <w:rsid w:val="00B964F6"/>
    <w:rsid w:val="00B972BC"/>
    <w:rsid w:val="00B97395"/>
    <w:rsid w:val="00B975A7"/>
    <w:rsid w:val="00BA0091"/>
    <w:rsid w:val="00BA01A3"/>
    <w:rsid w:val="00BA0737"/>
    <w:rsid w:val="00BA0999"/>
    <w:rsid w:val="00BA0AF1"/>
    <w:rsid w:val="00BA0EEE"/>
    <w:rsid w:val="00BA1071"/>
    <w:rsid w:val="00BA1073"/>
    <w:rsid w:val="00BA11E1"/>
    <w:rsid w:val="00BA1B79"/>
    <w:rsid w:val="00BA26B4"/>
    <w:rsid w:val="00BA2AA3"/>
    <w:rsid w:val="00BA2B6F"/>
    <w:rsid w:val="00BA2CAC"/>
    <w:rsid w:val="00BA3004"/>
    <w:rsid w:val="00BA30AE"/>
    <w:rsid w:val="00BA3872"/>
    <w:rsid w:val="00BA389B"/>
    <w:rsid w:val="00BA38A9"/>
    <w:rsid w:val="00BA3985"/>
    <w:rsid w:val="00BA3D93"/>
    <w:rsid w:val="00BA428B"/>
    <w:rsid w:val="00BA50D0"/>
    <w:rsid w:val="00BA5849"/>
    <w:rsid w:val="00BA5AF0"/>
    <w:rsid w:val="00BA5B02"/>
    <w:rsid w:val="00BA5F7C"/>
    <w:rsid w:val="00BA6B7C"/>
    <w:rsid w:val="00BA7832"/>
    <w:rsid w:val="00BB00FC"/>
    <w:rsid w:val="00BB1044"/>
    <w:rsid w:val="00BB198D"/>
    <w:rsid w:val="00BB2055"/>
    <w:rsid w:val="00BB2503"/>
    <w:rsid w:val="00BB2B12"/>
    <w:rsid w:val="00BB2CF4"/>
    <w:rsid w:val="00BB2D3C"/>
    <w:rsid w:val="00BB2E78"/>
    <w:rsid w:val="00BB2F66"/>
    <w:rsid w:val="00BB3379"/>
    <w:rsid w:val="00BB489B"/>
    <w:rsid w:val="00BB4B65"/>
    <w:rsid w:val="00BB4E0C"/>
    <w:rsid w:val="00BB64E6"/>
    <w:rsid w:val="00BB69A7"/>
    <w:rsid w:val="00BB69E6"/>
    <w:rsid w:val="00BB6C35"/>
    <w:rsid w:val="00BB6F94"/>
    <w:rsid w:val="00BB7441"/>
    <w:rsid w:val="00BB74B1"/>
    <w:rsid w:val="00BB7EF8"/>
    <w:rsid w:val="00BC0D52"/>
    <w:rsid w:val="00BC1464"/>
    <w:rsid w:val="00BC17B5"/>
    <w:rsid w:val="00BC189F"/>
    <w:rsid w:val="00BC18D6"/>
    <w:rsid w:val="00BC30E6"/>
    <w:rsid w:val="00BC3516"/>
    <w:rsid w:val="00BC3576"/>
    <w:rsid w:val="00BC3810"/>
    <w:rsid w:val="00BC3BE6"/>
    <w:rsid w:val="00BC49FF"/>
    <w:rsid w:val="00BC4B8C"/>
    <w:rsid w:val="00BC4BCC"/>
    <w:rsid w:val="00BC66D9"/>
    <w:rsid w:val="00BC7241"/>
    <w:rsid w:val="00BC7302"/>
    <w:rsid w:val="00BC7314"/>
    <w:rsid w:val="00BC7915"/>
    <w:rsid w:val="00BD05DD"/>
    <w:rsid w:val="00BD0F37"/>
    <w:rsid w:val="00BD28A3"/>
    <w:rsid w:val="00BD3201"/>
    <w:rsid w:val="00BD37C3"/>
    <w:rsid w:val="00BD40E2"/>
    <w:rsid w:val="00BD496D"/>
    <w:rsid w:val="00BD54E0"/>
    <w:rsid w:val="00BD5CA7"/>
    <w:rsid w:val="00BD5E06"/>
    <w:rsid w:val="00BD613E"/>
    <w:rsid w:val="00BD65B7"/>
    <w:rsid w:val="00BD6873"/>
    <w:rsid w:val="00BD7316"/>
    <w:rsid w:val="00BD73A5"/>
    <w:rsid w:val="00BE0611"/>
    <w:rsid w:val="00BE0AB8"/>
    <w:rsid w:val="00BE0EA9"/>
    <w:rsid w:val="00BE0F06"/>
    <w:rsid w:val="00BE119C"/>
    <w:rsid w:val="00BE1A74"/>
    <w:rsid w:val="00BE24DC"/>
    <w:rsid w:val="00BE48BD"/>
    <w:rsid w:val="00BE565C"/>
    <w:rsid w:val="00BE6596"/>
    <w:rsid w:val="00BE663C"/>
    <w:rsid w:val="00BE73D7"/>
    <w:rsid w:val="00BF008D"/>
    <w:rsid w:val="00BF07F1"/>
    <w:rsid w:val="00BF0B07"/>
    <w:rsid w:val="00BF0BF6"/>
    <w:rsid w:val="00BF0E5E"/>
    <w:rsid w:val="00BF0EBE"/>
    <w:rsid w:val="00BF1C95"/>
    <w:rsid w:val="00BF1F6C"/>
    <w:rsid w:val="00BF2D8E"/>
    <w:rsid w:val="00BF366A"/>
    <w:rsid w:val="00BF3784"/>
    <w:rsid w:val="00BF42BD"/>
    <w:rsid w:val="00BF4380"/>
    <w:rsid w:val="00BF4D75"/>
    <w:rsid w:val="00BF534E"/>
    <w:rsid w:val="00BF5BF5"/>
    <w:rsid w:val="00BF5C01"/>
    <w:rsid w:val="00BF5CAA"/>
    <w:rsid w:val="00BF5EEF"/>
    <w:rsid w:val="00BF7D0D"/>
    <w:rsid w:val="00C00539"/>
    <w:rsid w:val="00C005E8"/>
    <w:rsid w:val="00C006EA"/>
    <w:rsid w:val="00C00807"/>
    <w:rsid w:val="00C011C7"/>
    <w:rsid w:val="00C01798"/>
    <w:rsid w:val="00C01FA9"/>
    <w:rsid w:val="00C02314"/>
    <w:rsid w:val="00C026BB"/>
    <w:rsid w:val="00C029DF"/>
    <w:rsid w:val="00C0320D"/>
    <w:rsid w:val="00C039A3"/>
    <w:rsid w:val="00C04185"/>
    <w:rsid w:val="00C04CD9"/>
    <w:rsid w:val="00C05371"/>
    <w:rsid w:val="00C055F6"/>
    <w:rsid w:val="00C056EC"/>
    <w:rsid w:val="00C065A3"/>
    <w:rsid w:val="00C068CB"/>
    <w:rsid w:val="00C06D23"/>
    <w:rsid w:val="00C0719B"/>
    <w:rsid w:val="00C07BD9"/>
    <w:rsid w:val="00C07D5C"/>
    <w:rsid w:val="00C07E90"/>
    <w:rsid w:val="00C10E6C"/>
    <w:rsid w:val="00C1169F"/>
    <w:rsid w:val="00C12483"/>
    <w:rsid w:val="00C1306F"/>
    <w:rsid w:val="00C14318"/>
    <w:rsid w:val="00C145DC"/>
    <w:rsid w:val="00C145F0"/>
    <w:rsid w:val="00C14AAD"/>
    <w:rsid w:val="00C14F3A"/>
    <w:rsid w:val="00C15337"/>
    <w:rsid w:val="00C15AA8"/>
    <w:rsid w:val="00C15B38"/>
    <w:rsid w:val="00C171D0"/>
    <w:rsid w:val="00C172E6"/>
    <w:rsid w:val="00C17766"/>
    <w:rsid w:val="00C17CE4"/>
    <w:rsid w:val="00C17F81"/>
    <w:rsid w:val="00C20175"/>
    <w:rsid w:val="00C208B1"/>
    <w:rsid w:val="00C20A1D"/>
    <w:rsid w:val="00C20D54"/>
    <w:rsid w:val="00C22436"/>
    <w:rsid w:val="00C2282D"/>
    <w:rsid w:val="00C22CA6"/>
    <w:rsid w:val="00C22D2C"/>
    <w:rsid w:val="00C230D9"/>
    <w:rsid w:val="00C23BFA"/>
    <w:rsid w:val="00C248CA"/>
    <w:rsid w:val="00C24F2A"/>
    <w:rsid w:val="00C25351"/>
    <w:rsid w:val="00C25C08"/>
    <w:rsid w:val="00C260DA"/>
    <w:rsid w:val="00C268DB"/>
    <w:rsid w:val="00C26AEA"/>
    <w:rsid w:val="00C26B63"/>
    <w:rsid w:val="00C277D4"/>
    <w:rsid w:val="00C2784F"/>
    <w:rsid w:val="00C2794B"/>
    <w:rsid w:val="00C30D15"/>
    <w:rsid w:val="00C314D5"/>
    <w:rsid w:val="00C317A5"/>
    <w:rsid w:val="00C3290E"/>
    <w:rsid w:val="00C32FB1"/>
    <w:rsid w:val="00C330E3"/>
    <w:rsid w:val="00C3353A"/>
    <w:rsid w:val="00C3355F"/>
    <w:rsid w:val="00C34B08"/>
    <w:rsid w:val="00C3529F"/>
    <w:rsid w:val="00C35307"/>
    <w:rsid w:val="00C353AC"/>
    <w:rsid w:val="00C35AE2"/>
    <w:rsid w:val="00C365D2"/>
    <w:rsid w:val="00C36C78"/>
    <w:rsid w:val="00C377BE"/>
    <w:rsid w:val="00C4097A"/>
    <w:rsid w:val="00C411A0"/>
    <w:rsid w:val="00C41247"/>
    <w:rsid w:val="00C41A0F"/>
    <w:rsid w:val="00C42860"/>
    <w:rsid w:val="00C42E66"/>
    <w:rsid w:val="00C43291"/>
    <w:rsid w:val="00C43DA8"/>
    <w:rsid w:val="00C43FCC"/>
    <w:rsid w:val="00C44237"/>
    <w:rsid w:val="00C44496"/>
    <w:rsid w:val="00C45208"/>
    <w:rsid w:val="00C4544F"/>
    <w:rsid w:val="00C4547E"/>
    <w:rsid w:val="00C456D0"/>
    <w:rsid w:val="00C45CEA"/>
    <w:rsid w:val="00C46BDD"/>
    <w:rsid w:val="00C502B3"/>
    <w:rsid w:val="00C50FE9"/>
    <w:rsid w:val="00C51371"/>
    <w:rsid w:val="00C51E7D"/>
    <w:rsid w:val="00C52818"/>
    <w:rsid w:val="00C52862"/>
    <w:rsid w:val="00C52FA5"/>
    <w:rsid w:val="00C5437E"/>
    <w:rsid w:val="00C5494D"/>
    <w:rsid w:val="00C54EFD"/>
    <w:rsid w:val="00C559E2"/>
    <w:rsid w:val="00C55A48"/>
    <w:rsid w:val="00C56A1B"/>
    <w:rsid w:val="00C56FD3"/>
    <w:rsid w:val="00C579DB"/>
    <w:rsid w:val="00C605DB"/>
    <w:rsid w:val="00C61209"/>
    <w:rsid w:val="00C61508"/>
    <w:rsid w:val="00C615B9"/>
    <w:rsid w:val="00C61693"/>
    <w:rsid w:val="00C619B6"/>
    <w:rsid w:val="00C619E6"/>
    <w:rsid w:val="00C62BC6"/>
    <w:rsid w:val="00C62D75"/>
    <w:rsid w:val="00C63230"/>
    <w:rsid w:val="00C63CFF"/>
    <w:rsid w:val="00C64D12"/>
    <w:rsid w:val="00C65210"/>
    <w:rsid w:val="00C660B1"/>
    <w:rsid w:val="00C67D68"/>
    <w:rsid w:val="00C67DFC"/>
    <w:rsid w:val="00C710B3"/>
    <w:rsid w:val="00C71331"/>
    <w:rsid w:val="00C716BB"/>
    <w:rsid w:val="00C71C88"/>
    <w:rsid w:val="00C731C2"/>
    <w:rsid w:val="00C73569"/>
    <w:rsid w:val="00C73671"/>
    <w:rsid w:val="00C73925"/>
    <w:rsid w:val="00C74338"/>
    <w:rsid w:val="00C75410"/>
    <w:rsid w:val="00C7668F"/>
    <w:rsid w:val="00C80B8A"/>
    <w:rsid w:val="00C80C16"/>
    <w:rsid w:val="00C8169C"/>
    <w:rsid w:val="00C816C0"/>
    <w:rsid w:val="00C825C0"/>
    <w:rsid w:val="00C83BA2"/>
    <w:rsid w:val="00C84727"/>
    <w:rsid w:val="00C84875"/>
    <w:rsid w:val="00C84FB6"/>
    <w:rsid w:val="00C85EBC"/>
    <w:rsid w:val="00C86D68"/>
    <w:rsid w:val="00C872A9"/>
    <w:rsid w:val="00C8794E"/>
    <w:rsid w:val="00C87F6B"/>
    <w:rsid w:val="00C91080"/>
    <w:rsid w:val="00C916C9"/>
    <w:rsid w:val="00C92920"/>
    <w:rsid w:val="00C936F1"/>
    <w:rsid w:val="00C93767"/>
    <w:rsid w:val="00C93868"/>
    <w:rsid w:val="00C945D3"/>
    <w:rsid w:val="00C95A8B"/>
    <w:rsid w:val="00C95A95"/>
    <w:rsid w:val="00C96D75"/>
    <w:rsid w:val="00C96DE2"/>
    <w:rsid w:val="00C971FF"/>
    <w:rsid w:val="00C97C25"/>
    <w:rsid w:val="00CA01DE"/>
    <w:rsid w:val="00CA0F0F"/>
    <w:rsid w:val="00CA175C"/>
    <w:rsid w:val="00CA1B91"/>
    <w:rsid w:val="00CA1C61"/>
    <w:rsid w:val="00CA2043"/>
    <w:rsid w:val="00CA2AC2"/>
    <w:rsid w:val="00CA2DB3"/>
    <w:rsid w:val="00CA3030"/>
    <w:rsid w:val="00CA40FD"/>
    <w:rsid w:val="00CA50FA"/>
    <w:rsid w:val="00CA56B2"/>
    <w:rsid w:val="00CA5718"/>
    <w:rsid w:val="00CA6158"/>
    <w:rsid w:val="00CA6898"/>
    <w:rsid w:val="00CA6AC9"/>
    <w:rsid w:val="00CA77EB"/>
    <w:rsid w:val="00CB05FC"/>
    <w:rsid w:val="00CB103E"/>
    <w:rsid w:val="00CB1CE4"/>
    <w:rsid w:val="00CB1EAA"/>
    <w:rsid w:val="00CB2084"/>
    <w:rsid w:val="00CB2247"/>
    <w:rsid w:val="00CB2386"/>
    <w:rsid w:val="00CB2ED2"/>
    <w:rsid w:val="00CB3308"/>
    <w:rsid w:val="00CB3810"/>
    <w:rsid w:val="00CB4D1D"/>
    <w:rsid w:val="00CB4EBF"/>
    <w:rsid w:val="00CB4F52"/>
    <w:rsid w:val="00CB53ED"/>
    <w:rsid w:val="00CB5807"/>
    <w:rsid w:val="00CB62BB"/>
    <w:rsid w:val="00CB732F"/>
    <w:rsid w:val="00CC027D"/>
    <w:rsid w:val="00CC0939"/>
    <w:rsid w:val="00CC1161"/>
    <w:rsid w:val="00CC11CE"/>
    <w:rsid w:val="00CC1641"/>
    <w:rsid w:val="00CC2E8A"/>
    <w:rsid w:val="00CC3591"/>
    <w:rsid w:val="00CC4677"/>
    <w:rsid w:val="00CC4CBF"/>
    <w:rsid w:val="00CC58B3"/>
    <w:rsid w:val="00CC6096"/>
    <w:rsid w:val="00CC6CD4"/>
    <w:rsid w:val="00CC6FD7"/>
    <w:rsid w:val="00CC7F46"/>
    <w:rsid w:val="00CD208F"/>
    <w:rsid w:val="00CD31D3"/>
    <w:rsid w:val="00CD3A14"/>
    <w:rsid w:val="00CD3EF1"/>
    <w:rsid w:val="00CD414B"/>
    <w:rsid w:val="00CD4E6D"/>
    <w:rsid w:val="00CD6060"/>
    <w:rsid w:val="00CD6106"/>
    <w:rsid w:val="00CD68B3"/>
    <w:rsid w:val="00CD748C"/>
    <w:rsid w:val="00CD74D6"/>
    <w:rsid w:val="00CD77D0"/>
    <w:rsid w:val="00CE01F7"/>
    <w:rsid w:val="00CE0DE3"/>
    <w:rsid w:val="00CE2222"/>
    <w:rsid w:val="00CE22DE"/>
    <w:rsid w:val="00CE24BE"/>
    <w:rsid w:val="00CE2C82"/>
    <w:rsid w:val="00CE3F76"/>
    <w:rsid w:val="00CE450F"/>
    <w:rsid w:val="00CE4992"/>
    <w:rsid w:val="00CE4C7C"/>
    <w:rsid w:val="00CE4DFD"/>
    <w:rsid w:val="00CE4F6D"/>
    <w:rsid w:val="00CE5389"/>
    <w:rsid w:val="00CE66D4"/>
    <w:rsid w:val="00CE74F1"/>
    <w:rsid w:val="00CE7B65"/>
    <w:rsid w:val="00CF0C96"/>
    <w:rsid w:val="00CF16ED"/>
    <w:rsid w:val="00CF2036"/>
    <w:rsid w:val="00CF2291"/>
    <w:rsid w:val="00CF2818"/>
    <w:rsid w:val="00CF292E"/>
    <w:rsid w:val="00CF322D"/>
    <w:rsid w:val="00CF32DA"/>
    <w:rsid w:val="00CF42A1"/>
    <w:rsid w:val="00CF4525"/>
    <w:rsid w:val="00CF4957"/>
    <w:rsid w:val="00CF4D2F"/>
    <w:rsid w:val="00CF554A"/>
    <w:rsid w:val="00CF590C"/>
    <w:rsid w:val="00CF5C65"/>
    <w:rsid w:val="00CF60BB"/>
    <w:rsid w:val="00CF7069"/>
    <w:rsid w:val="00CF7CC0"/>
    <w:rsid w:val="00D0003D"/>
    <w:rsid w:val="00D00105"/>
    <w:rsid w:val="00D009C8"/>
    <w:rsid w:val="00D00B1D"/>
    <w:rsid w:val="00D00C81"/>
    <w:rsid w:val="00D01337"/>
    <w:rsid w:val="00D0138C"/>
    <w:rsid w:val="00D01920"/>
    <w:rsid w:val="00D02552"/>
    <w:rsid w:val="00D03A02"/>
    <w:rsid w:val="00D04F6A"/>
    <w:rsid w:val="00D050D9"/>
    <w:rsid w:val="00D055B5"/>
    <w:rsid w:val="00D05866"/>
    <w:rsid w:val="00D05EAB"/>
    <w:rsid w:val="00D064DC"/>
    <w:rsid w:val="00D06F90"/>
    <w:rsid w:val="00D070A9"/>
    <w:rsid w:val="00D077DD"/>
    <w:rsid w:val="00D10237"/>
    <w:rsid w:val="00D102B9"/>
    <w:rsid w:val="00D10517"/>
    <w:rsid w:val="00D1143C"/>
    <w:rsid w:val="00D114B9"/>
    <w:rsid w:val="00D1157C"/>
    <w:rsid w:val="00D12BA5"/>
    <w:rsid w:val="00D137C4"/>
    <w:rsid w:val="00D139EB"/>
    <w:rsid w:val="00D14985"/>
    <w:rsid w:val="00D1502C"/>
    <w:rsid w:val="00D1561E"/>
    <w:rsid w:val="00D16018"/>
    <w:rsid w:val="00D16CF4"/>
    <w:rsid w:val="00D16DF3"/>
    <w:rsid w:val="00D17A90"/>
    <w:rsid w:val="00D17BE8"/>
    <w:rsid w:val="00D17D4B"/>
    <w:rsid w:val="00D17E04"/>
    <w:rsid w:val="00D17F87"/>
    <w:rsid w:val="00D21565"/>
    <w:rsid w:val="00D218B4"/>
    <w:rsid w:val="00D219A7"/>
    <w:rsid w:val="00D21A89"/>
    <w:rsid w:val="00D2206E"/>
    <w:rsid w:val="00D2289C"/>
    <w:rsid w:val="00D237A2"/>
    <w:rsid w:val="00D23FE0"/>
    <w:rsid w:val="00D24FFD"/>
    <w:rsid w:val="00D251BE"/>
    <w:rsid w:val="00D25EE1"/>
    <w:rsid w:val="00D27361"/>
    <w:rsid w:val="00D27FF5"/>
    <w:rsid w:val="00D3073C"/>
    <w:rsid w:val="00D30A9A"/>
    <w:rsid w:val="00D31B38"/>
    <w:rsid w:val="00D31FE6"/>
    <w:rsid w:val="00D32426"/>
    <w:rsid w:val="00D32432"/>
    <w:rsid w:val="00D32522"/>
    <w:rsid w:val="00D32C63"/>
    <w:rsid w:val="00D33326"/>
    <w:rsid w:val="00D33967"/>
    <w:rsid w:val="00D33C86"/>
    <w:rsid w:val="00D33E6D"/>
    <w:rsid w:val="00D35663"/>
    <w:rsid w:val="00D3611D"/>
    <w:rsid w:val="00D362A9"/>
    <w:rsid w:val="00D36B32"/>
    <w:rsid w:val="00D36E78"/>
    <w:rsid w:val="00D37FDF"/>
    <w:rsid w:val="00D40F3D"/>
    <w:rsid w:val="00D417FB"/>
    <w:rsid w:val="00D437A7"/>
    <w:rsid w:val="00D43C74"/>
    <w:rsid w:val="00D444AC"/>
    <w:rsid w:val="00D44DFE"/>
    <w:rsid w:val="00D4537C"/>
    <w:rsid w:val="00D46432"/>
    <w:rsid w:val="00D46458"/>
    <w:rsid w:val="00D464D0"/>
    <w:rsid w:val="00D46E0D"/>
    <w:rsid w:val="00D4756D"/>
    <w:rsid w:val="00D5047C"/>
    <w:rsid w:val="00D525D2"/>
    <w:rsid w:val="00D5260B"/>
    <w:rsid w:val="00D52AFF"/>
    <w:rsid w:val="00D52BE7"/>
    <w:rsid w:val="00D52F9D"/>
    <w:rsid w:val="00D5305B"/>
    <w:rsid w:val="00D5353B"/>
    <w:rsid w:val="00D53868"/>
    <w:rsid w:val="00D5472F"/>
    <w:rsid w:val="00D551FB"/>
    <w:rsid w:val="00D56467"/>
    <w:rsid w:val="00D570FF"/>
    <w:rsid w:val="00D57F72"/>
    <w:rsid w:val="00D60B97"/>
    <w:rsid w:val="00D60CD7"/>
    <w:rsid w:val="00D616B2"/>
    <w:rsid w:val="00D6272B"/>
    <w:rsid w:val="00D627E0"/>
    <w:rsid w:val="00D62A7B"/>
    <w:rsid w:val="00D642B3"/>
    <w:rsid w:val="00D644C8"/>
    <w:rsid w:val="00D647BF"/>
    <w:rsid w:val="00D64AAD"/>
    <w:rsid w:val="00D65E10"/>
    <w:rsid w:val="00D674E7"/>
    <w:rsid w:val="00D67D4A"/>
    <w:rsid w:val="00D67E78"/>
    <w:rsid w:val="00D67EEC"/>
    <w:rsid w:val="00D70235"/>
    <w:rsid w:val="00D728A9"/>
    <w:rsid w:val="00D73F50"/>
    <w:rsid w:val="00D73F8C"/>
    <w:rsid w:val="00D753FC"/>
    <w:rsid w:val="00D76771"/>
    <w:rsid w:val="00D76849"/>
    <w:rsid w:val="00D76A25"/>
    <w:rsid w:val="00D77F5C"/>
    <w:rsid w:val="00D80F72"/>
    <w:rsid w:val="00D81058"/>
    <w:rsid w:val="00D81E05"/>
    <w:rsid w:val="00D82CEF"/>
    <w:rsid w:val="00D835BA"/>
    <w:rsid w:val="00D835CB"/>
    <w:rsid w:val="00D83D2F"/>
    <w:rsid w:val="00D8412C"/>
    <w:rsid w:val="00D84AAA"/>
    <w:rsid w:val="00D85CFD"/>
    <w:rsid w:val="00D85FD5"/>
    <w:rsid w:val="00D860CF"/>
    <w:rsid w:val="00D863B2"/>
    <w:rsid w:val="00D8665F"/>
    <w:rsid w:val="00D86B91"/>
    <w:rsid w:val="00D86CD2"/>
    <w:rsid w:val="00D877C9"/>
    <w:rsid w:val="00D87C13"/>
    <w:rsid w:val="00D90816"/>
    <w:rsid w:val="00D90ACC"/>
    <w:rsid w:val="00D913EF"/>
    <w:rsid w:val="00D91411"/>
    <w:rsid w:val="00D92628"/>
    <w:rsid w:val="00D93835"/>
    <w:rsid w:val="00D9395D"/>
    <w:rsid w:val="00D940CF"/>
    <w:rsid w:val="00D9428D"/>
    <w:rsid w:val="00D94CFE"/>
    <w:rsid w:val="00D9594F"/>
    <w:rsid w:val="00D95C0B"/>
    <w:rsid w:val="00D95EAD"/>
    <w:rsid w:val="00D96665"/>
    <w:rsid w:val="00D9681D"/>
    <w:rsid w:val="00D96EC8"/>
    <w:rsid w:val="00D9731C"/>
    <w:rsid w:val="00DA02A7"/>
    <w:rsid w:val="00DA0814"/>
    <w:rsid w:val="00DA08A7"/>
    <w:rsid w:val="00DA1391"/>
    <w:rsid w:val="00DA14AF"/>
    <w:rsid w:val="00DA1D2A"/>
    <w:rsid w:val="00DA1D5C"/>
    <w:rsid w:val="00DA1D89"/>
    <w:rsid w:val="00DA2224"/>
    <w:rsid w:val="00DA2651"/>
    <w:rsid w:val="00DA2F7C"/>
    <w:rsid w:val="00DA32D5"/>
    <w:rsid w:val="00DA3DA9"/>
    <w:rsid w:val="00DA3DF7"/>
    <w:rsid w:val="00DA3F19"/>
    <w:rsid w:val="00DA43E1"/>
    <w:rsid w:val="00DA61C3"/>
    <w:rsid w:val="00DA69F4"/>
    <w:rsid w:val="00DA7167"/>
    <w:rsid w:val="00DA7F2C"/>
    <w:rsid w:val="00DA7F76"/>
    <w:rsid w:val="00DA7FDB"/>
    <w:rsid w:val="00DB1237"/>
    <w:rsid w:val="00DB1279"/>
    <w:rsid w:val="00DB1A2B"/>
    <w:rsid w:val="00DB1E4B"/>
    <w:rsid w:val="00DB1E50"/>
    <w:rsid w:val="00DB2853"/>
    <w:rsid w:val="00DB351E"/>
    <w:rsid w:val="00DB35CE"/>
    <w:rsid w:val="00DB43AB"/>
    <w:rsid w:val="00DB5476"/>
    <w:rsid w:val="00DB5765"/>
    <w:rsid w:val="00DB6652"/>
    <w:rsid w:val="00DB6924"/>
    <w:rsid w:val="00DB6C04"/>
    <w:rsid w:val="00DB7ECE"/>
    <w:rsid w:val="00DC0068"/>
    <w:rsid w:val="00DC05C1"/>
    <w:rsid w:val="00DC0AA4"/>
    <w:rsid w:val="00DC1274"/>
    <w:rsid w:val="00DC3BA6"/>
    <w:rsid w:val="00DC3C71"/>
    <w:rsid w:val="00DC489D"/>
    <w:rsid w:val="00DC4B3D"/>
    <w:rsid w:val="00DC5FD2"/>
    <w:rsid w:val="00DC603E"/>
    <w:rsid w:val="00DC613C"/>
    <w:rsid w:val="00DC61DE"/>
    <w:rsid w:val="00DC6A96"/>
    <w:rsid w:val="00DC6CEF"/>
    <w:rsid w:val="00DC707D"/>
    <w:rsid w:val="00DC7294"/>
    <w:rsid w:val="00DC7851"/>
    <w:rsid w:val="00DC798E"/>
    <w:rsid w:val="00DD0924"/>
    <w:rsid w:val="00DD107D"/>
    <w:rsid w:val="00DD1385"/>
    <w:rsid w:val="00DD1BDF"/>
    <w:rsid w:val="00DD1F88"/>
    <w:rsid w:val="00DD377D"/>
    <w:rsid w:val="00DD3952"/>
    <w:rsid w:val="00DD4712"/>
    <w:rsid w:val="00DD4836"/>
    <w:rsid w:val="00DD6041"/>
    <w:rsid w:val="00DD68D5"/>
    <w:rsid w:val="00DD6B5A"/>
    <w:rsid w:val="00DD7086"/>
    <w:rsid w:val="00DE0807"/>
    <w:rsid w:val="00DE0A5F"/>
    <w:rsid w:val="00DE0E18"/>
    <w:rsid w:val="00DE0EE8"/>
    <w:rsid w:val="00DE0F4B"/>
    <w:rsid w:val="00DE1CA1"/>
    <w:rsid w:val="00DE1E5B"/>
    <w:rsid w:val="00DE2148"/>
    <w:rsid w:val="00DE2181"/>
    <w:rsid w:val="00DE2867"/>
    <w:rsid w:val="00DE2895"/>
    <w:rsid w:val="00DE495B"/>
    <w:rsid w:val="00DE49E6"/>
    <w:rsid w:val="00DE4B5D"/>
    <w:rsid w:val="00DE4B6D"/>
    <w:rsid w:val="00DE4BA1"/>
    <w:rsid w:val="00DE583F"/>
    <w:rsid w:val="00DE58D8"/>
    <w:rsid w:val="00DE5E38"/>
    <w:rsid w:val="00DE6DFF"/>
    <w:rsid w:val="00DE7836"/>
    <w:rsid w:val="00DE7F48"/>
    <w:rsid w:val="00DF009E"/>
    <w:rsid w:val="00DF015B"/>
    <w:rsid w:val="00DF0651"/>
    <w:rsid w:val="00DF0F76"/>
    <w:rsid w:val="00DF1547"/>
    <w:rsid w:val="00DF1631"/>
    <w:rsid w:val="00DF1706"/>
    <w:rsid w:val="00DF19C9"/>
    <w:rsid w:val="00DF218B"/>
    <w:rsid w:val="00DF2CC3"/>
    <w:rsid w:val="00DF2E65"/>
    <w:rsid w:val="00DF35FF"/>
    <w:rsid w:val="00DF37B5"/>
    <w:rsid w:val="00DF3D48"/>
    <w:rsid w:val="00DF47A0"/>
    <w:rsid w:val="00DF4CA1"/>
    <w:rsid w:val="00DF50AD"/>
    <w:rsid w:val="00DF545F"/>
    <w:rsid w:val="00DF5DB0"/>
    <w:rsid w:val="00DF6679"/>
    <w:rsid w:val="00DF72C8"/>
    <w:rsid w:val="00DF7C8B"/>
    <w:rsid w:val="00DF7F3A"/>
    <w:rsid w:val="00E00F5B"/>
    <w:rsid w:val="00E010F9"/>
    <w:rsid w:val="00E0118E"/>
    <w:rsid w:val="00E016EE"/>
    <w:rsid w:val="00E01B6F"/>
    <w:rsid w:val="00E01FDB"/>
    <w:rsid w:val="00E023CF"/>
    <w:rsid w:val="00E02CBC"/>
    <w:rsid w:val="00E0321B"/>
    <w:rsid w:val="00E03931"/>
    <w:rsid w:val="00E03CAD"/>
    <w:rsid w:val="00E0437E"/>
    <w:rsid w:val="00E043EA"/>
    <w:rsid w:val="00E04686"/>
    <w:rsid w:val="00E04EF4"/>
    <w:rsid w:val="00E06BAB"/>
    <w:rsid w:val="00E07480"/>
    <w:rsid w:val="00E07942"/>
    <w:rsid w:val="00E07DC7"/>
    <w:rsid w:val="00E07E3E"/>
    <w:rsid w:val="00E10225"/>
    <w:rsid w:val="00E10BE0"/>
    <w:rsid w:val="00E1185D"/>
    <w:rsid w:val="00E12008"/>
    <w:rsid w:val="00E13C40"/>
    <w:rsid w:val="00E13E46"/>
    <w:rsid w:val="00E1489C"/>
    <w:rsid w:val="00E1573E"/>
    <w:rsid w:val="00E1669E"/>
    <w:rsid w:val="00E16807"/>
    <w:rsid w:val="00E16BE1"/>
    <w:rsid w:val="00E2014F"/>
    <w:rsid w:val="00E201E7"/>
    <w:rsid w:val="00E2119E"/>
    <w:rsid w:val="00E213B8"/>
    <w:rsid w:val="00E21BD3"/>
    <w:rsid w:val="00E220AF"/>
    <w:rsid w:val="00E22908"/>
    <w:rsid w:val="00E22F60"/>
    <w:rsid w:val="00E23D98"/>
    <w:rsid w:val="00E24416"/>
    <w:rsid w:val="00E252CB"/>
    <w:rsid w:val="00E254EC"/>
    <w:rsid w:val="00E255EF"/>
    <w:rsid w:val="00E256C3"/>
    <w:rsid w:val="00E25C50"/>
    <w:rsid w:val="00E2619B"/>
    <w:rsid w:val="00E262F2"/>
    <w:rsid w:val="00E269E7"/>
    <w:rsid w:val="00E27AD4"/>
    <w:rsid w:val="00E27DAA"/>
    <w:rsid w:val="00E27DD2"/>
    <w:rsid w:val="00E30AFE"/>
    <w:rsid w:val="00E31447"/>
    <w:rsid w:val="00E32742"/>
    <w:rsid w:val="00E32C38"/>
    <w:rsid w:val="00E32F7D"/>
    <w:rsid w:val="00E33D2E"/>
    <w:rsid w:val="00E33F4A"/>
    <w:rsid w:val="00E342B8"/>
    <w:rsid w:val="00E34808"/>
    <w:rsid w:val="00E34F20"/>
    <w:rsid w:val="00E35096"/>
    <w:rsid w:val="00E35115"/>
    <w:rsid w:val="00E351E4"/>
    <w:rsid w:val="00E35271"/>
    <w:rsid w:val="00E375F0"/>
    <w:rsid w:val="00E37659"/>
    <w:rsid w:val="00E37D73"/>
    <w:rsid w:val="00E40399"/>
    <w:rsid w:val="00E415C3"/>
    <w:rsid w:val="00E421A1"/>
    <w:rsid w:val="00E4244C"/>
    <w:rsid w:val="00E43CAF"/>
    <w:rsid w:val="00E44635"/>
    <w:rsid w:val="00E44690"/>
    <w:rsid w:val="00E45246"/>
    <w:rsid w:val="00E4529F"/>
    <w:rsid w:val="00E45D22"/>
    <w:rsid w:val="00E45EC9"/>
    <w:rsid w:val="00E46ACF"/>
    <w:rsid w:val="00E46CE3"/>
    <w:rsid w:val="00E47A9C"/>
    <w:rsid w:val="00E50118"/>
    <w:rsid w:val="00E51AAC"/>
    <w:rsid w:val="00E52F2B"/>
    <w:rsid w:val="00E53993"/>
    <w:rsid w:val="00E540A3"/>
    <w:rsid w:val="00E549BD"/>
    <w:rsid w:val="00E54E1C"/>
    <w:rsid w:val="00E550F7"/>
    <w:rsid w:val="00E559DA"/>
    <w:rsid w:val="00E55D26"/>
    <w:rsid w:val="00E56923"/>
    <w:rsid w:val="00E56960"/>
    <w:rsid w:val="00E5730A"/>
    <w:rsid w:val="00E57469"/>
    <w:rsid w:val="00E57597"/>
    <w:rsid w:val="00E57AFB"/>
    <w:rsid w:val="00E61307"/>
    <w:rsid w:val="00E61592"/>
    <w:rsid w:val="00E61DEE"/>
    <w:rsid w:val="00E62AC6"/>
    <w:rsid w:val="00E63A7D"/>
    <w:rsid w:val="00E64C89"/>
    <w:rsid w:val="00E650CC"/>
    <w:rsid w:val="00E653BA"/>
    <w:rsid w:val="00E65A61"/>
    <w:rsid w:val="00E66F9B"/>
    <w:rsid w:val="00E67398"/>
    <w:rsid w:val="00E705D2"/>
    <w:rsid w:val="00E708FB"/>
    <w:rsid w:val="00E70AC3"/>
    <w:rsid w:val="00E70D57"/>
    <w:rsid w:val="00E70DA7"/>
    <w:rsid w:val="00E7158D"/>
    <w:rsid w:val="00E7178E"/>
    <w:rsid w:val="00E71861"/>
    <w:rsid w:val="00E71A34"/>
    <w:rsid w:val="00E74AE9"/>
    <w:rsid w:val="00E74D8B"/>
    <w:rsid w:val="00E74F14"/>
    <w:rsid w:val="00E761D2"/>
    <w:rsid w:val="00E76201"/>
    <w:rsid w:val="00E774B2"/>
    <w:rsid w:val="00E774F4"/>
    <w:rsid w:val="00E80D3C"/>
    <w:rsid w:val="00E81F4C"/>
    <w:rsid w:val="00E824D6"/>
    <w:rsid w:val="00E8497D"/>
    <w:rsid w:val="00E8576B"/>
    <w:rsid w:val="00E87242"/>
    <w:rsid w:val="00E874C3"/>
    <w:rsid w:val="00E8752D"/>
    <w:rsid w:val="00E87C5A"/>
    <w:rsid w:val="00E87D5F"/>
    <w:rsid w:val="00E90CF8"/>
    <w:rsid w:val="00E91520"/>
    <w:rsid w:val="00E91931"/>
    <w:rsid w:val="00E9217E"/>
    <w:rsid w:val="00E92C24"/>
    <w:rsid w:val="00E9366E"/>
    <w:rsid w:val="00E93917"/>
    <w:rsid w:val="00E94E99"/>
    <w:rsid w:val="00E95175"/>
    <w:rsid w:val="00E951D9"/>
    <w:rsid w:val="00E95BED"/>
    <w:rsid w:val="00E96379"/>
    <w:rsid w:val="00E96ADF"/>
    <w:rsid w:val="00E976FC"/>
    <w:rsid w:val="00EA076E"/>
    <w:rsid w:val="00EA10F9"/>
    <w:rsid w:val="00EA138F"/>
    <w:rsid w:val="00EA1A15"/>
    <w:rsid w:val="00EA1B43"/>
    <w:rsid w:val="00EA1D91"/>
    <w:rsid w:val="00EA26B5"/>
    <w:rsid w:val="00EA30CA"/>
    <w:rsid w:val="00EA5038"/>
    <w:rsid w:val="00EA628A"/>
    <w:rsid w:val="00EA68D3"/>
    <w:rsid w:val="00EA74C0"/>
    <w:rsid w:val="00EA75BB"/>
    <w:rsid w:val="00EA760A"/>
    <w:rsid w:val="00EA773B"/>
    <w:rsid w:val="00EA7E67"/>
    <w:rsid w:val="00EB0692"/>
    <w:rsid w:val="00EB0E89"/>
    <w:rsid w:val="00EB167D"/>
    <w:rsid w:val="00EB2D4C"/>
    <w:rsid w:val="00EB2E3A"/>
    <w:rsid w:val="00EB41C3"/>
    <w:rsid w:val="00EB458D"/>
    <w:rsid w:val="00EB50CB"/>
    <w:rsid w:val="00EB5106"/>
    <w:rsid w:val="00EB5558"/>
    <w:rsid w:val="00EB5838"/>
    <w:rsid w:val="00EB5B12"/>
    <w:rsid w:val="00EB6A40"/>
    <w:rsid w:val="00EB6C83"/>
    <w:rsid w:val="00EB6D26"/>
    <w:rsid w:val="00EB7127"/>
    <w:rsid w:val="00EB7362"/>
    <w:rsid w:val="00EC130C"/>
    <w:rsid w:val="00EC1398"/>
    <w:rsid w:val="00EC1D4E"/>
    <w:rsid w:val="00EC1D83"/>
    <w:rsid w:val="00EC2D0C"/>
    <w:rsid w:val="00EC3562"/>
    <w:rsid w:val="00EC3790"/>
    <w:rsid w:val="00EC445A"/>
    <w:rsid w:val="00EC4636"/>
    <w:rsid w:val="00EC49AE"/>
    <w:rsid w:val="00EC4E90"/>
    <w:rsid w:val="00EC53C1"/>
    <w:rsid w:val="00EC6345"/>
    <w:rsid w:val="00EC69DE"/>
    <w:rsid w:val="00EC6CD1"/>
    <w:rsid w:val="00EC7908"/>
    <w:rsid w:val="00ED0CD7"/>
    <w:rsid w:val="00ED0D5D"/>
    <w:rsid w:val="00ED321F"/>
    <w:rsid w:val="00ED3EAB"/>
    <w:rsid w:val="00ED3F13"/>
    <w:rsid w:val="00ED429F"/>
    <w:rsid w:val="00ED54B5"/>
    <w:rsid w:val="00ED5F8F"/>
    <w:rsid w:val="00ED6943"/>
    <w:rsid w:val="00ED6D97"/>
    <w:rsid w:val="00ED7223"/>
    <w:rsid w:val="00ED7794"/>
    <w:rsid w:val="00ED7D9C"/>
    <w:rsid w:val="00ED7F8C"/>
    <w:rsid w:val="00EE05EF"/>
    <w:rsid w:val="00EE14BF"/>
    <w:rsid w:val="00EE232C"/>
    <w:rsid w:val="00EE3123"/>
    <w:rsid w:val="00EE3839"/>
    <w:rsid w:val="00EE3C7C"/>
    <w:rsid w:val="00EE3F4D"/>
    <w:rsid w:val="00EE486F"/>
    <w:rsid w:val="00EE5067"/>
    <w:rsid w:val="00EE58F8"/>
    <w:rsid w:val="00EE608B"/>
    <w:rsid w:val="00EE68A3"/>
    <w:rsid w:val="00EE71DB"/>
    <w:rsid w:val="00EF059A"/>
    <w:rsid w:val="00EF0839"/>
    <w:rsid w:val="00EF08FF"/>
    <w:rsid w:val="00EF2974"/>
    <w:rsid w:val="00EF297F"/>
    <w:rsid w:val="00EF2BBC"/>
    <w:rsid w:val="00EF2EA9"/>
    <w:rsid w:val="00EF34D4"/>
    <w:rsid w:val="00EF3A17"/>
    <w:rsid w:val="00EF3B92"/>
    <w:rsid w:val="00EF4E15"/>
    <w:rsid w:val="00EF5D47"/>
    <w:rsid w:val="00EF6D6B"/>
    <w:rsid w:val="00EF6DA1"/>
    <w:rsid w:val="00EF70F6"/>
    <w:rsid w:val="00F00139"/>
    <w:rsid w:val="00F00A18"/>
    <w:rsid w:val="00F0146A"/>
    <w:rsid w:val="00F01578"/>
    <w:rsid w:val="00F02098"/>
    <w:rsid w:val="00F02AA4"/>
    <w:rsid w:val="00F0332E"/>
    <w:rsid w:val="00F033CD"/>
    <w:rsid w:val="00F040E1"/>
    <w:rsid w:val="00F055C8"/>
    <w:rsid w:val="00F0659D"/>
    <w:rsid w:val="00F06C02"/>
    <w:rsid w:val="00F070D4"/>
    <w:rsid w:val="00F07208"/>
    <w:rsid w:val="00F0769E"/>
    <w:rsid w:val="00F07ABA"/>
    <w:rsid w:val="00F07E84"/>
    <w:rsid w:val="00F10A19"/>
    <w:rsid w:val="00F10EFD"/>
    <w:rsid w:val="00F11597"/>
    <w:rsid w:val="00F11BF3"/>
    <w:rsid w:val="00F11E28"/>
    <w:rsid w:val="00F12024"/>
    <w:rsid w:val="00F1230F"/>
    <w:rsid w:val="00F12C86"/>
    <w:rsid w:val="00F13241"/>
    <w:rsid w:val="00F139A3"/>
    <w:rsid w:val="00F14473"/>
    <w:rsid w:val="00F14A4C"/>
    <w:rsid w:val="00F14B21"/>
    <w:rsid w:val="00F16145"/>
    <w:rsid w:val="00F1738C"/>
    <w:rsid w:val="00F17704"/>
    <w:rsid w:val="00F17BC6"/>
    <w:rsid w:val="00F17FFB"/>
    <w:rsid w:val="00F200D8"/>
    <w:rsid w:val="00F20B73"/>
    <w:rsid w:val="00F2106A"/>
    <w:rsid w:val="00F211A9"/>
    <w:rsid w:val="00F21354"/>
    <w:rsid w:val="00F215AF"/>
    <w:rsid w:val="00F216BC"/>
    <w:rsid w:val="00F22914"/>
    <w:rsid w:val="00F236AF"/>
    <w:rsid w:val="00F23759"/>
    <w:rsid w:val="00F23CB8"/>
    <w:rsid w:val="00F2476F"/>
    <w:rsid w:val="00F24ABC"/>
    <w:rsid w:val="00F24CBC"/>
    <w:rsid w:val="00F2568F"/>
    <w:rsid w:val="00F25B7E"/>
    <w:rsid w:val="00F25DDA"/>
    <w:rsid w:val="00F260D4"/>
    <w:rsid w:val="00F27A41"/>
    <w:rsid w:val="00F300F9"/>
    <w:rsid w:val="00F313C3"/>
    <w:rsid w:val="00F31685"/>
    <w:rsid w:val="00F319E7"/>
    <w:rsid w:val="00F32CF2"/>
    <w:rsid w:val="00F33057"/>
    <w:rsid w:val="00F3352F"/>
    <w:rsid w:val="00F33BB2"/>
    <w:rsid w:val="00F33DBD"/>
    <w:rsid w:val="00F35859"/>
    <w:rsid w:val="00F35990"/>
    <w:rsid w:val="00F35AAD"/>
    <w:rsid w:val="00F36387"/>
    <w:rsid w:val="00F366BC"/>
    <w:rsid w:val="00F377CF"/>
    <w:rsid w:val="00F37A12"/>
    <w:rsid w:val="00F37DEC"/>
    <w:rsid w:val="00F412FB"/>
    <w:rsid w:val="00F41AF7"/>
    <w:rsid w:val="00F428A5"/>
    <w:rsid w:val="00F42A44"/>
    <w:rsid w:val="00F42C17"/>
    <w:rsid w:val="00F42EB6"/>
    <w:rsid w:val="00F43865"/>
    <w:rsid w:val="00F4386A"/>
    <w:rsid w:val="00F43894"/>
    <w:rsid w:val="00F43DA4"/>
    <w:rsid w:val="00F4420D"/>
    <w:rsid w:val="00F445B2"/>
    <w:rsid w:val="00F44A5D"/>
    <w:rsid w:val="00F44AD0"/>
    <w:rsid w:val="00F46953"/>
    <w:rsid w:val="00F46F94"/>
    <w:rsid w:val="00F47B1E"/>
    <w:rsid w:val="00F50DB4"/>
    <w:rsid w:val="00F514B3"/>
    <w:rsid w:val="00F52223"/>
    <w:rsid w:val="00F52F13"/>
    <w:rsid w:val="00F53055"/>
    <w:rsid w:val="00F54145"/>
    <w:rsid w:val="00F54725"/>
    <w:rsid w:val="00F54D31"/>
    <w:rsid w:val="00F55EEB"/>
    <w:rsid w:val="00F56023"/>
    <w:rsid w:val="00F57A13"/>
    <w:rsid w:val="00F57ED9"/>
    <w:rsid w:val="00F611CD"/>
    <w:rsid w:val="00F616E9"/>
    <w:rsid w:val="00F61BA9"/>
    <w:rsid w:val="00F624E0"/>
    <w:rsid w:val="00F6482A"/>
    <w:rsid w:val="00F64CCF"/>
    <w:rsid w:val="00F64CE0"/>
    <w:rsid w:val="00F66ADA"/>
    <w:rsid w:val="00F67ADF"/>
    <w:rsid w:val="00F67B1B"/>
    <w:rsid w:val="00F67D1E"/>
    <w:rsid w:val="00F70F19"/>
    <w:rsid w:val="00F71184"/>
    <w:rsid w:val="00F712EC"/>
    <w:rsid w:val="00F72C47"/>
    <w:rsid w:val="00F73374"/>
    <w:rsid w:val="00F73D97"/>
    <w:rsid w:val="00F74049"/>
    <w:rsid w:val="00F7468C"/>
    <w:rsid w:val="00F75198"/>
    <w:rsid w:val="00F7558C"/>
    <w:rsid w:val="00F76017"/>
    <w:rsid w:val="00F76C29"/>
    <w:rsid w:val="00F77158"/>
    <w:rsid w:val="00F773E1"/>
    <w:rsid w:val="00F80697"/>
    <w:rsid w:val="00F816AD"/>
    <w:rsid w:val="00F819AB"/>
    <w:rsid w:val="00F81BEF"/>
    <w:rsid w:val="00F8290A"/>
    <w:rsid w:val="00F82A59"/>
    <w:rsid w:val="00F82F84"/>
    <w:rsid w:val="00F84071"/>
    <w:rsid w:val="00F844D7"/>
    <w:rsid w:val="00F852E8"/>
    <w:rsid w:val="00F857D6"/>
    <w:rsid w:val="00F86B24"/>
    <w:rsid w:val="00F87020"/>
    <w:rsid w:val="00F8720B"/>
    <w:rsid w:val="00F8758F"/>
    <w:rsid w:val="00F8765F"/>
    <w:rsid w:val="00F87B86"/>
    <w:rsid w:val="00F90F7E"/>
    <w:rsid w:val="00F912AB"/>
    <w:rsid w:val="00F91D7F"/>
    <w:rsid w:val="00F92064"/>
    <w:rsid w:val="00F924A0"/>
    <w:rsid w:val="00F93196"/>
    <w:rsid w:val="00F93949"/>
    <w:rsid w:val="00F9446E"/>
    <w:rsid w:val="00F952AC"/>
    <w:rsid w:val="00F95C32"/>
    <w:rsid w:val="00F96BAB"/>
    <w:rsid w:val="00F96C11"/>
    <w:rsid w:val="00F9782D"/>
    <w:rsid w:val="00F97900"/>
    <w:rsid w:val="00F97AC9"/>
    <w:rsid w:val="00F97BEA"/>
    <w:rsid w:val="00FA0329"/>
    <w:rsid w:val="00FA15C6"/>
    <w:rsid w:val="00FA1E85"/>
    <w:rsid w:val="00FA1EDA"/>
    <w:rsid w:val="00FA2907"/>
    <w:rsid w:val="00FA2AF7"/>
    <w:rsid w:val="00FA36A5"/>
    <w:rsid w:val="00FA382F"/>
    <w:rsid w:val="00FA4FEE"/>
    <w:rsid w:val="00FA5E84"/>
    <w:rsid w:val="00FA7149"/>
    <w:rsid w:val="00FA74A1"/>
    <w:rsid w:val="00FA76E1"/>
    <w:rsid w:val="00FA7733"/>
    <w:rsid w:val="00FA7B6D"/>
    <w:rsid w:val="00FB0233"/>
    <w:rsid w:val="00FB1238"/>
    <w:rsid w:val="00FB125C"/>
    <w:rsid w:val="00FB17FD"/>
    <w:rsid w:val="00FB2A1A"/>
    <w:rsid w:val="00FB2A5F"/>
    <w:rsid w:val="00FB2FCD"/>
    <w:rsid w:val="00FB36B2"/>
    <w:rsid w:val="00FB3DA6"/>
    <w:rsid w:val="00FB3E3F"/>
    <w:rsid w:val="00FB40EB"/>
    <w:rsid w:val="00FB4D4F"/>
    <w:rsid w:val="00FB4F85"/>
    <w:rsid w:val="00FB581A"/>
    <w:rsid w:val="00FB6225"/>
    <w:rsid w:val="00FB66E6"/>
    <w:rsid w:val="00FB66F3"/>
    <w:rsid w:val="00FB6A98"/>
    <w:rsid w:val="00FB6CF0"/>
    <w:rsid w:val="00FB7B9A"/>
    <w:rsid w:val="00FB7C9F"/>
    <w:rsid w:val="00FB7DC0"/>
    <w:rsid w:val="00FC0479"/>
    <w:rsid w:val="00FC05AE"/>
    <w:rsid w:val="00FC0EE8"/>
    <w:rsid w:val="00FC150B"/>
    <w:rsid w:val="00FC16BA"/>
    <w:rsid w:val="00FC2818"/>
    <w:rsid w:val="00FC2BDC"/>
    <w:rsid w:val="00FC3078"/>
    <w:rsid w:val="00FC3B6C"/>
    <w:rsid w:val="00FC440A"/>
    <w:rsid w:val="00FC489A"/>
    <w:rsid w:val="00FC55C0"/>
    <w:rsid w:val="00FC5CBC"/>
    <w:rsid w:val="00FC6C9C"/>
    <w:rsid w:val="00FC7458"/>
    <w:rsid w:val="00FC7B36"/>
    <w:rsid w:val="00FD0990"/>
    <w:rsid w:val="00FD09C4"/>
    <w:rsid w:val="00FD12B6"/>
    <w:rsid w:val="00FD1597"/>
    <w:rsid w:val="00FD1AC7"/>
    <w:rsid w:val="00FD1F96"/>
    <w:rsid w:val="00FD2609"/>
    <w:rsid w:val="00FD2D31"/>
    <w:rsid w:val="00FD305C"/>
    <w:rsid w:val="00FD3FF5"/>
    <w:rsid w:val="00FD42E0"/>
    <w:rsid w:val="00FD499C"/>
    <w:rsid w:val="00FD4CB6"/>
    <w:rsid w:val="00FD66A6"/>
    <w:rsid w:val="00FD736B"/>
    <w:rsid w:val="00FD7E59"/>
    <w:rsid w:val="00FE0161"/>
    <w:rsid w:val="00FE064E"/>
    <w:rsid w:val="00FE068A"/>
    <w:rsid w:val="00FE0720"/>
    <w:rsid w:val="00FE0A82"/>
    <w:rsid w:val="00FE0E45"/>
    <w:rsid w:val="00FE0E7C"/>
    <w:rsid w:val="00FE112B"/>
    <w:rsid w:val="00FE1848"/>
    <w:rsid w:val="00FE19ED"/>
    <w:rsid w:val="00FE28B9"/>
    <w:rsid w:val="00FE2926"/>
    <w:rsid w:val="00FE2E84"/>
    <w:rsid w:val="00FE3356"/>
    <w:rsid w:val="00FE3920"/>
    <w:rsid w:val="00FE39DB"/>
    <w:rsid w:val="00FE4221"/>
    <w:rsid w:val="00FE4615"/>
    <w:rsid w:val="00FE4E99"/>
    <w:rsid w:val="00FE572F"/>
    <w:rsid w:val="00FE5CE0"/>
    <w:rsid w:val="00FE6028"/>
    <w:rsid w:val="00FE6151"/>
    <w:rsid w:val="00FE6469"/>
    <w:rsid w:val="00FE708C"/>
    <w:rsid w:val="00FE7D6D"/>
    <w:rsid w:val="00FE7DD5"/>
    <w:rsid w:val="00FF038D"/>
    <w:rsid w:val="00FF045C"/>
    <w:rsid w:val="00FF05A9"/>
    <w:rsid w:val="00FF0A08"/>
    <w:rsid w:val="00FF15C6"/>
    <w:rsid w:val="00FF167A"/>
    <w:rsid w:val="00FF1C3E"/>
    <w:rsid w:val="00FF1D4F"/>
    <w:rsid w:val="00FF222E"/>
    <w:rsid w:val="00FF2AF5"/>
    <w:rsid w:val="00FF3199"/>
    <w:rsid w:val="00FF31D7"/>
    <w:rsid w:val="00FF38EA"/>
    <w:rsid w:val="00FF5226"/>
    <w:rsid w:val="00FF523B"/>
    <w:rsid w:val="00FF53F2"/>
    <w:rsid w:val="00FF552F"/>
    <w:rsid w:val="00FF58F7"/>
    <w:rsid w:val="00FF5F4D"/>
    <w:rsid w:val="00FF6424"/>
    <w:rsid w:val="00FF67E4"/>
    <w:rsid w:val="00FF6957"/>
    <w:rsid w:val="00FF6A3B"/>
    <w:rsid w:val="00FF72EB"/>
    <w:rsid w:val="00FF73A3"/>
    <w:rsid w:val="00FF75E7"/>
    <w:rsid w:val="00FF7E35"/>
    <w:rsid w:val="00FF7F64"/>
  </w:rsids>
  <m:mathPr>
    <m:mathFont m:val="Cambria Math"/>
    <m:brkBin m:val="before"/>
    <m:brkBinSub m:val="--"/>
    <m:smallFrac/>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color w:val="7030A0"/>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157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C336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aliases w:val="Resume Title"/>
    <w:basedOn w:val="Normal"/>
    <w:link w:val="ListParagraphChar"/>
    <w:uiPriority w:val="34"/>
    <w:qFormat/>
    <w:rsid w:val="00431F82"/>
    <w:pPr>
      <w:spacing w:after="100" w:afterAutospacing="1" w:line="240" w:lineRule="auto"/>
      <w:ind w:left="720"/>
      <w:contextualSpacing/>
    </w:pPr>
    <w:rPr>
      <w:rFonts w:ascii="Calibri" w:eastAsia="Calibri" w:hAnsi="Calibri" w:cs="Times New Roman"/>
      <w:color w:val="auto"/>
    </w:rPr>
  </w:style>
  <w:style w:type="paragraph" w:styleId="Header">
    <w:name w:val="header"/>
    <w:basedOn w:val="Normal"/>
    <w:link w:val="HeaderChar"/>
    <w:rsid w:val="000F2A3C"/>
    <w:pPr>
      <w:tabs>
        <w:tab w:val="center" w:pos="4320"/>
        <w:tab w:val="right" w:pos="8640"/>
      </w:tabs>
      <w:spacing w:after="0" w:line="240" w:lineRule="auto"/>
    </w:pPr>
    <w:rPr>
      <w:rFonts w:ascii="Times New Roman" w:eastAsia="Times New Roman" w:hAnsi="Times New Roman" w:cs="Times New Roman"/>
      <w:color w:val="auto"/>
      <w:sz w:val="20"/>
      <w:szCs w:val="20"/>
    </w:rPr>
  </w:style>
  <w:style w:type="character" w:customStyle="1" w:styleId="HeaderChar">
    <w:name w:val="Header Char"/>
    <w:basedOn w:val="DefaultParagraphFont"/>
    <w:link w:val="Header"/>
    <w:rsid w:val="000F2A3C"/>
    <w:rPr>
      <w:rFonts w:ascii="Times New Roman" w:eastAsia="Times New Roman" w:hAnsi="Times New Roman" w:cs="Times New Roman"/>
      <w:color w:val="auto"/>
      <w:sz w:val="20"/>
      <w:szCs w:val="20"/>
    </w:rPr>
  </w:style>
  <w:style w:type="paragraph" w:styleId="Footer">
    <w:name w:val="footer"/>
    <w:basedOn w:val="Normal"/>
    <w:link w:val="FooterChar"/>
    <w:uiPriority w:val="99"/>
    <w:unhideWhenUsed/>
    <w:rsid w:val="003E31E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31E0"/>
  </w:style>
  <w:style w:type="character" w:customStyle="1" w:styleId="ListParagraphChar">
    <w:name w:val="List Paragraph Char"/>
    <w:aliases w:val="Resume Title Char"/>
    <w:link w:val="ListParagraph"/>
    <w:uiPriority w:val="34"/>
    <w:locked/>
    <w:rsid w:val="006655A8"/>
    <w:rPr>
      <w:rFonts w:ascii="Calibri" w:eastAsia="Calibri" w:hAnsi="Calibri" w:cs="Times New Roman"/>
      <w:color w:val="auto"/>
    </w:rPr>
  </w:style>
  <w:style w:type="numbering" w:customStyle="1" w:styleId="Style1">
    <w:name w:val="Style1"/>
    <w:uiPriority w:val="99"/>
    <w:rsid w:val="004C78EA"/>
    <w:pPr>
      <w:numPr>
        <w:numId w:val="4"/>
      </w:numPr>
    </w:pPr>
  </w:style>
  <w:style w:type="paragraph" w:styleId="BodyText">
    <w:name w:val="Body Text"/>
    <w:basedOn w:val="Normal"/>
    <w:link w:val="BodyTextChar"/>
    <w:uiPriority w:val="99"/>
    <w:rsid w:val="00EF2974"/>
    <w:pPr>
      <w:spacing w:after="0" w:line="240" w:lineRule="auto"/>
    </w:pPr>
    <w:rPr>
      <w:rFonts w:eastAsia="Times New Roman" w:cs="Times New Roman"/>
      <w:b/>
      <w:color w:val="auto"/>
      <w:szCs w:val="20"/>
    </w:rPr>
  </w:style>
  <w:style w:type="character" w:customStyle="1" w:styleId="BodyTextChar">
    <w:name w:val="Body Text Char"/>
    <w:basedOn w:val="DefaultParagraphFont"/>
    <w:link w:val="BodyText"/>
    <w:uiPriority w:val="99"/>
    <w:rsid w:val="00EF2974"/>
    <w:rPr>
      <w:rFonts w:eastAsia="Times New Roman" w:cs="Times New Roman"/>
      <w:b/>
      <w:color w:val="auto"/>
      <w:szCs w:val="20"/>
    </w:rPr>
  </w:style>
  <w:style w:type="paragraph" w:styleId="NoSpacing">
    <w:name w:val="No Spacing"/>
    <w:uiPriority w:val="1"/>
    <w:qFormat/>
    <w:rsid w:val="000A4668"/>
    <w:pPr>
      <w:spacing w:after="0" w:line="240" w:lineRule="auto"/>
    </w:pPr>
    <w:rPr>
      <w:rFonts w:ascii="Calibri" w:eastAsia="Calibri" w:hAnsi="Calibri" w:cs="Times New Roman"/>
      <w:color w:val="auto"/>
    </w:rPr>
  </w:style>
  <w:style w:type="paragraph" w:styleId="BodyTextIndent3">
    <w:name w:val="Body Text Indent 3"/>
    <w:basedOn w:val="Normal"/>
    <w:link w:val="BodyTextIndent3Char"/>
    <w:uiPriority w:val="99"/>
    <w:semiHidden/>
    <w:unhideWhenUsed/>
    <w:rsid w:val="00673C27"/>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673C27"/>
    <w:rPr>
      <w:sz w:val="16"/>
      <w:szCs w:val="16"/>
    </w:rPr>
  </w:style>
  <w:style w:type="paragraph" w:styleId="BalloonText">
    <w:name w:val="Balloon Text"/>
    <w:basedOn w:val="Normal"/>
    <w:link w:val="BalloonTextChar"/>
    <w:uiPriority w:val="99"/>
    <w:semiHidden/>
    <w:unhideWhenUsed/>
    <w:rsid w:val="00683B6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3B65"/>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711421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90FB97-63DB-43A2-AC40-093B6E8A8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6</Pages>
  <Words>2242</Words>
  <Characters>12782</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COA</dc:creator>
  <cp:lastModifiedBy>linda.vegafria</cp:lastModifiedBy>
  <cp:revision>25</cp:revision>
  <cp:lastPrinted>2018-06-27T04:10:00Z</cp:lastPrinted>
  <dcterms:created xsi:type="dcterms:W3CDTF">2018-06-26T09:49:00Z</dcterms:created>
  <dcterms:modified xsi:type="dcterms:W3CDTF">2018-06-27T04:10:00Z</dcterms:modified>
</cp:coreProperties>
</file>